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D34" w:rsidRDefault="00625D34" w:rsidP="00625D34">
      <w:pPr>
        <w:widowControl/>
        <w:ind w:firstLineChars="700" w:firstLine="3360"/>
        <w:rPr>
          <w:rFonts w:ascii="黑体" w:eastAsia="黑体" w:hAnsi="黑体"/>
          <w:color w:val="000000"/>
          <w:sz w:val="48"/>
          <w:szCs w:val="48"/>
        </w:rPr>
      </w:pPr>
      <w:bookmarkStart w:id="0" w:name="_Toc15306267"/>
      <w:bookmarkStart w:id="1" w:name="OLE_LINK2"/>
      <w:bookmarkStart w:id="2" w:name="OLE_LINK9"/>
      <w:bookmarkStart w:id="3" w:name="OLE_LINK7"/>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B87944" w:rsidRDefault="00B87944" w:rsidP="00B87944">
      <w:pPr>
        <w:pStyle w:val="2"/>
        <w:ind w:left="420"/>
      </w:pPr>
    </w:p>
    <w:p w:rsidR="00B87944" w:rsidRDefault="00B87944" w:rsidP="00B87944">
      <w:pPr>
        <w:pStyle w:val="2"/>
        <w:ind w:left="420"/>
      </w:pPr>
    </w:p>
    <w:p w:rsidR="00B87944" w:rsidRDefault="00B87944" w:rsidP="00B87944">
      <w:pPr>
        <w:pStyle w:val="2"/>
        <w:ind w:left="420"/>
      </w:pPr>
    </w:p>
    <w:p w:rsidR="00B87944" w:rsidRPr="00B87944" w:rsidRDefault="00B87944" w:rsidP="00B87944">
      <w:pPr>
        <w:pStyle w:val="2"/>
        <w:ind w:left="420"/>
      </w:pPr>
    </w:p>
    <w:p w:rsidR="00625D34" w:rsidRDefault="00625D34" w:rsidP="00625D34">
      <w:pPr>
        <w:widowControl/>
        <w:ind w:firstLineChars="700" w:firstLine="3360"/>
        <w:rPr>
          <w:rFonts w:ascii="黑体" w:eastAsia="黑体" w:hAnsi="黑体"/>
          <w:color w:val="000000"/>
          <w:sz w:val="48"/>
          <w:szCs w:val="48"/>
        </w:rPr>
      </w:pP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r w:rsidRPr="005746E4">
        <w:rPr>
          <w:rFonts w:ascii="黑体" w:eastAsia="黑体" w:hAnsi="黑体" w:cs="黑体"/>
          <w:color w:val="000000"/>
          <w:sz w:val="52"/>
          <w:szCs w:val="52"/>
        </w:rPr>
        <w:t>20</w:t>
      </w:r>
      <w:r w:rsidR="008D7C19">
        <w:rPr>
          <w:rFonts w:ascii="黑体" w:eastAsia="黑体" w:hAnsi="黑体" w:cs="黑体" w:hint="eastAsia"/>
          <w:color w:val="000000"/>
          <w:sz w:val="52"/>
          <w:szCs w:val="52"/>
        </w:rPr>
        <w:t>21</w:t>
      </w:r>
      <w:r w:rsidRPr="005746E4">
        <w:rPr>
          <w:rFonts w:ascii="黑体" w:eastAsia="黑体" w:hAnsi="黑体" w:cs="黑体" w:hint="eastAsia"/>
          <w:color w:val="000000"/>
          <w:sz w:val="52"/>
          <w:szCs w:val="52"/>
        </w:rPr>
        <w:t>年度</w:t>
      </w: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bookmarkStart w:id="4" w:name="_Toc15377426"/>
      <w:bookmarkStart w:id="5" w:name="_Toc15378442"/>
      <w:bookmarkStart w:id="6" w:name="_Toc15396598"/>
      <w:bookmarkStart w:id="7" w:name="_Toc15396476"/>
      <w:bookmarkStart w:id="8" w:name="_Toc15377194"/>
      <w:r w:rsidRPr="005746E4">
        <w:rPr>
          <w:rFonts w:ascii="黑体" w:eastAsia="黑体" w:hAnsi="黑体" w:cs="黑体" w:hint="eastAsia"/>
          <w:color w:val="000000"/>
          <w:sz w:val="52"/>
          <w:szCs w:val="52"/>
        </w:rPr>
        <w:t>德阳市</w:t>
      </w:r>
      <w:bookmarkStart w:id="9" w:name="_Toc15306268"/>
      <w:r w:rsidRPr="005746E4">
        <w:rPr>
          <w:rFonts w:ascii="黑体" w:eastAsia="黑体" w:hAnsi="黑体" w:cs="黑体" w:hint="eastAsia"/>
          <w:color w:val="000000"/>
          <w:sz w:val="52"/>
          <w:szCs w:val="52"/>
        </w:rPr>
        <w:t>城市管理行政执法局</w:t>
      </w:r>
      <w:r>
        <w:rPr>
          <w:rFonts w:ascii="黑体" w:eastAsia="黑体" w:hAnsi="黑体" w:cs="黑体" w:hint="eastAsia"/>
          <w:color w:val="000000"/>
          <w:sz w:val="52"/>
          <w:szCs w:val="52"/>
        </w:rPr>
        <w:t>(本级)</w:t>
      </w:r>
    </w:p>
    <w:p w:rsidR="00625D34" w:rsidRPr="005746E4" w:rsidRDefault="00625D34" w:rsidP="00625D34">
      <w:pPr>
        <w:adjustRightInd w:val="0"/>
        <w:snapToGrid w:val="0"/>
        <w:spacing w:line="360" w:lineRule="auto"/>
        <w:jc w:val="center"/>
        <w:outlineLvl w:val="0"/>
        <w:rPr>
          <w:rFonts w:ascii="黑体" w:eastAsia="黑体" w:hAnsi="黑体"/>
          <w:color w:val="000000"/>
          <w:sz w:val="52"/>
          <w:szCs w:val="52"/>
        </w:rPr>
      </w:pPr>
      <w:r w:rsidRPr="005746E4">
        <w:rPr>
          <w:rFonts w:ascii="黑体" w:eastAsia="黑体" w:hAnsi="黑体" w:cs="黑体" w:hint="eastAsia"/>
          <w:color w:val="000000"/>
          <w:sz w:val="52"/>
          <w:szCs w:val="52"/>
        </w:rPr>
        <w:t>部门决算</w:t>
      </w:r>
      <w:bookmarkEnd w:id="4"/>
      <w:bookmarkEnd w:id="5"/>
      <w:bookmarkEnd w:id="6"/>
      <w:bookmarkEnd w:id="7"/>
      <w:bookmarkEnd w:id="8"/>
      <w:bookmarkEnd w:id="9"/>
      <w:r w:rsidRPr="005746E4">
        <w:rPr>
          <w:rFonts w:ascii="黑体" w:eastAsia="黑体" w:hAnsi="黑体" w:cs="黑体" w:hint="eastAsia"/>
          <w:color w:val="000000"/>
          <w:sz w:val="52"/>
          <w:szCs w:val="52"/>
        </w:rPr>
        <w:t>编制说明</w:t>
      </w: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Pr="00B8794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ind w:firstLineChars="700" w:firstLine="3360"/>
        <w:rPr>
          <w:rFonts w:ascii="黑体" w:eastAsia="黑体" w:hAnsi="黑体"/>
          <w:color w:val="000000"/>
          <w:sz w:val="48"/>
          <w:szCs w:val="48"/>
        </w:rPr>
      </w:pPr>
    </w:p>
    <w:p w:rsidR="00625D34" w:rsidRDefault="00625D34" w:rsidP="00625D34">
      <w:pPr>
        <w:widowControl/>
        <w:rPr>
          <w:rFonts w:ascii="黑体" w:eastAsia="黑体" w:hAnsi="黑体"/>
          <w:color w:val="000000"/>
          <w:sz w:val="48"/>
          <w:szCs w:val="48"/>
        </w:rPr>
      </w:pPr>
    </w:p>
    <w:p w:rsidR="00934C54" w:rsidRDefault="00934C54" w:rsidP="00625D34">
      <w:pPr>
        <w:widowControl/>
        <w:ind w:firstLineChars="700" w:firstLine="3360"/>
        <w:rPr>
          <w:rFonts w:ascii="黑体" w:eastAsia="黑体" w:hAnsi="黑体"/>
          <w:color w:val="000000"/>
          <w:sz w:val="48"/>
          <w:szCs w:val="48"/>
        </w:rPr>
      </w:pPr>
      <w:r>
        <w:rPr>
          <w:rFonts w:ascii="黑体" w:eastAsia="黑体" w:hAnsi="黑体" w:hint="eastAsia"/>
          <w:color w:val="000000"/>
          <w:sz w:val="48"/>
          <w:szCs w:val="48"/>
        </w:rPr>
        <w:t>目  录</w:t>
      </w:r>
    </w:p>
    <w:p w:rsidR="00934C54" w:rsidRDefault="00934C54" w:rsidP="00934C54">
      <w:pPr>
        <w:widowControl/>
        <w:jc w:val="center"/>
        <w:rPr>
          <w:rFonts w:ascii="黑体" w:eastAsia="黑体" w:hAnsi="黑体" w:cstheme="minorBidi"/>
          <w:sz w:val="28"/>
          <w:szCs w:val="28"/>
        </w:rPr>
      </w:pPr>
    </w:p>
    <w:p w:rsidR="00934C54" w:rsidRDefault="00934C54" w:rsidP="00934C54">
      <w:pPr>
        <w:pStyle w:val="10"/>
      </w:pPr>
      <w:r>
        <w:rPr>
          <w:rFonts w:hint="eastAsia"/>
        </w:rPr>
        <w:t>公开时间：2021年9月</w:t>
      </w:r>
      <w:r w:rsidR="00E6117F">
        <w:rPr>
          <w:rFonts w:hint="eastAsia"/>
        </w:rPr>
        <w:t>27</w:t>
      </w:r>
      <w:r>
        <w:rPr>
          <w:rFonts w:hint="eastAsia"/>
        </w:rPr>
        <w:t>日</w:t>
      </w:r>
    </w:p>
    <w:p w:rsidR="00934C54" w:rsidRPr="00942CF4" w:rsidRDefault="00934C54" w:rsidP="00934C54">
      <w:pPr>
        <w:rPr>
          <w:rFonts w:asciiTheme="minorEastAsia" w:eastAsiaTheme="minorEastAsia" w:hAnsiTheme="minorEastAsia"/>
        </w:rPr>
      </w:pP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第一部分部门概况</w:t>
      </w:r>
      <w:r w:rsidRPr="00942CF4">
        <w:rPr>
          <w:rFonts w:asciiTheme="minorEastAsia" w:eastAsiaTheme="minorEastAsia" w:hAnsiTheme="minorEastAsia"/>
          <w:sz w:val="24"/>
        </w:rPr>
        <w:tab/>
      </w:r>
      <w:r>
        <w:rPr>
          <w:rFonts w:asciiTheme="minorEastAsia" w:eastAsiaTheme="minorEastAsia" w:hAnsiTheme="minorEastAsia" w:hint="eastAsia"/>
          <w:sz w:val="24"/>
        </w:rPr>
        <w:t>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一、基本职能及主要工作</w:t>
      </w:r>
      <w:r w:rsidRPr="00942CF4">
        <w:rPr>
          <w:rFonts w:asciiTheme="minorEastAsia" w:eastAsiaTheme="minorEastAsia" w:hAnsiTheme="minorEastAsia"/>
          <w:sz w:val="24"/>
        </w:rPr>
        <w:tab/>
      </w:r>
      <w:r>
        <w:rPr>
          <w:rFonts w:asciiTheme="minorEastAsia" w:eastAsiaTheme="minorEastAsia" w:hAnsiTheme="minorEastAsia" w:hint="eastAsia"/>
          <w:sz w:val="24"/>
        </w:rPr>
        <w:t>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二、机构设置</w:t>
      </w:r>
      <w:r w:rsidRPr="00942CF4">
        <w:rPr>
          <w:rFonts w:asciiTheme="minorEastAsia" w:eastAsiaTheme="minorEastAsia" w:hAnsiTheme="minorEastAsia"/>
          <w:sz w:val="24"/>
        </w:rPr>
        <w:tab/>
      </w:r>
      <w:r w:rsidRPr="00942CF4">
        <w:rPr>
          <w:rFonts w:asciiTheme="minorEastAsia" w:eastAsiaTheme="minorEastAsia" w:hAnsiTheme="minorEastAsia" w:hint="eastAsia"/>
          <w:sz w:val="24"/>
        </w:rPr>
        <w:t>11</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b/>
          <w:sz w:val="24"/>
          <w:szCs w:val="24"/>
        </w:rPr>
      </w:pPr>
      <w:r w:rsidRPr="00942CF4">
        <w:rPr>
          <w:rFonts w:asciiTheme="minorEastAsia" w:eastAsiaTheme="minorEastAsia" w:hAnsiTheme="minorEastAsia" w:hint="eastAsia"/>
          <w:sz w:val="24"/>
        </w:rPr>
        <w:t>第二部分</w:t>
      </w:r>
      <w:proofErr w:type="gramStart"/>
      <w:r w:rsidRPr="00942CF4">
        <w:rPr>
          <w:rFonts w:asciiTheme="minorEastAsia" w:eastAsiaTheme="minorEastAsia" w:hAnsiTheme="minorEastAsia" w:hint="eastAsia"/>
          <w:sz w:val="24"/>
        </w:rPr>
        <w:t>度部门</w:t>
      </w:r>
      <w:proofErr w:type="gramEnd"/>
      <w:r w:rsidRPr="00942CF4">
        <w:rPr>
          <w:rFonts w:asciiTheme="minorEastAsia" w:eastAsiaTheme="minorEastAsia" w:hAnsiTheme="minorEastAsia" w:hint="eastAsia"/>
          <w:sz w:val="24"/>
        </w:rPr>
        <w:t>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11</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一、收入支出决算总体情况说明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11</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二、收入决算情况说明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12</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三、支出决算情况说明</w:t>
      </w:r>
      <w:r w:rsidRPr="00942CF4">
        <w:rPr>
          <w:rFonts w:asciiTheme="minorEastAsia" w:eastAsiaTheme="minorEastAsia" w:hAnsiTheme="minorEastAsia"/>
          <w:sz w:val="24"/>
        </w:rPr>
        <w:tab/>
      </w:r>
      <w:r>
        <w:rPr>
          <w:rFonts w:asciiTheme="minorEastAsia" w:eastAsiaTheme="minorEastAsia" w:hAnsiTheme="minorEastAsia" w:hint="eastAsia"/>
          <w:sz w:val="24"/>
        </w:rPr>
        <w:t>12</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四、财政拨款收入支出决算总体情况说明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13</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五、一般公共预算财政拨款支出决算情况说明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14</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六、一般公共预算财政拨款基本支出决算情况说明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16</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七、</w:t>
      </w:r>
      <w:r w:rsidRPr="00942CF4">
        <w:rPr>
          <w:rFonts w:asciiTheme="minorEastAsia" w:eastAsiaTheme="minorEastAsia" w:hAnsiTheme="minorEastAsia"/>
          <w:sz w:val="24"/>
        </w:rPr>
        <w:t>“</w:t>
      </w:r>
      <w:r w:rsidRPr="00942CF4">
        <w:rPr>
          <w:rFonts w:asciiTheme="minorEastAsia" w:eastAsiaTheme="minorEastAsia" w:hAnsiTheme="minorEastAsia" w:hint="eastAsia"/>
          <w:sz w:val="24"/>
        </w:rPr>
        <w:t>三公”经费财政拨款支出决算情况说明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17</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八、政府性基金预算支出决算情况说明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18</w:t>
      </w:r>
    </w:p>
    <w:p w:rsidR="00934C54" w:rsidRDefault="00934C54" w:rsidP="00934C54">
      <w:pPr>
        <w:pStyle w:val="21"/>
        <w:adjustRightInd w:val="0"/>
        <w:snapToGrid w:val="0"/>
        <w:spacing w:line="440" w:lineRule="exact"/>
        <w:ind w:leftChars="0"/>
        <w:jc w:val="left"/>
        <w:rPr>
          <w:rFonts w:asciiTheme="minorEastAsia" w:eastAsiaTheme="minorEastAsia" w:hAnsiTheme="minorEastAsia"/>
          <w:sz w:val="24"/>
        </w:rPr>
      </w:pPr>
      <w:r w:rsidRPr="00942CF4">
        <w:rPr>
          <w:rFonts w:asciiTheme="minorEastAsia" w:eastAsiaTheme="minorEastAsia" w:hAnsiTheme="minorEastAsia" w:hint="eastAsia"/>
          <w:sz w:val="24"/>
        </w:rPr>
        <w:t>九、</w:t>
      </w:r>
      <w:r w:rsidRPr="00942CF4">
        <w:rPr>
          <w:rFonts w:asciiTheme="minorEastAsia" w:eastAsiaTheme="minorEastAsia" w:hAnsiTheme="minorEastAsia"/>
          <w:sz w:val="24"/>
        </w:rPr>
        <w:t xml:space="preserve"> 国</w:t>
      </w:r>
      <w:r w:rsidRPr="00942CF4">
        <w:rPr>
          <w:rFonts w:asciiTheme="minorEastAsia" w:eastAsiaTheme="minorEastAsia" w:hAnsiTheme="minorEastAsia" w:hint="eastAsia"/>
          <w:sz w:val="24"/>
        </w:rPr>
        <w:t>有资本经营预算支出决算情况说明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18</w:t>
      </w:r>
    </w:p>
    <w:p w:rsidR="00934C54" w:rsidRPr="00372BF1" w:rsidRDefault="00934C54" w:rsidP="00934C54">
      <w:pPr>
        <w:pStyle w:val="21"/>
        <w:adjustRightInd w:val="0"/>
        <w:snapToGrid w:val="0"/>
        <w:spacing w:line="440" w:lineRule="exact"/>
        <w:ind w:leftChars="0"/>
        <w:jc w:val="left"/>
        <w:rPr>
          <w:rFonts w:asciiTheme="minorEastAsia" w:eastAsiaTheme="minorEastAsia" w:hAnsiTheme="minorEastAsia"/>
          <w:sz w:val="24"/>
        </w:rPr>
      </w:pPr>
      <w:r>
        <w:rPr>
          <w:rFonts w:asciiTheme="minorEastAsia" w:eastAsiaTheme="minorEastAsia" w:hAnsiTheme="minorEastAsia" w:hint="eastAsia"/>
          <w:sz w:val="24"/>
        </w:rPr>
        <w:t>十、</w:t>
      </w:r>
      <w:r w:rsidRPr="00942CF4">
        <w:rPr>
          <w:rFonts w:asciiTheme="minorEastAsia" w:eastAsiaTheme="minorEastAsia" w:hAnsiTheme="minorEastAsia" w:hint="eastAsia"/>
          <w:sz w:val="24"/>
        </w:rPr>
        <w:t>其他重要事项的情况说明</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19</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第三部分名词解释</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25</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第四部分附件</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30</w:t>
      </w:r>
    </w:p>
    <w:p w:rsidR="00934C5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sidRPr="00942CF4">
        <w:rPr>
          <w:rFonts w:asciiTheme="minorEastAsia" w:eastAsiaTheme="minorEastAsia" w:hAnsiTheme="minorEastAsia"/>
          <w:sz w:val="24"/>
        </w:rPr>
        <w:t>1</w:t>
      </w:r>
      <w:r w:rsidRPr="00942CF4">
        <w:rPr>
          <w:rFonts w:asciiTheme="minorEastAsia" w:eastAsiaTheme="minorEastAsia" w:hAnsiTheme="minorEastAsia"/>
          <w:sz w:val="24"/>
        </w:rPr>
        <w:tab/>
      </w:r>
      <w:r w:rsidR="00CC6A4A">
        <w:rPr>
          <w:rFonts w:asciiTheme="minorEastAsia" w:eastAsiaTheme="minorEastAsia" w:hAnsiTheme="minorEastAsia" w:hint="eastAsia"/>
          <w:sz w:val="24"/>
        </w:rPr>
        <w:t>30</w:t>
      </w:r>
    </w:p>
    <w:p w:rsidR="00D52A95" w:rsidRDefault="00D52A95" w:rsidP="00D52A95">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Pr>
          <w:rFonts w:asciiTheme="minorEastAsia" w:eastAsiaTheme="minorEastAsia" w:hAnsiTheme="minorEastAsia" w:hint="eastAsia"/>
          <w:sz w:val="24"/>
        </w:rPr>
        <w:t>2</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35</w:t>
      </w:r>
    </w:p>
    <w:p w:rsidR="00D52A95" w:rsidRDefault="00D52A95" w:rsidP="00D52A95">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附件</w:t>
      </w:r>
      <w:r>
        <w:rPr>
          <w:rFonts w:asciiTheme="minorEastAsia" w:eastAsiaTheme="minorEastAsia" w:hAnsiTheme="minorEastAsia" w:hint="eastAsia"/>
          <w:sz w:val="24"/>
        </w:rPr>
        <w:t>3</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40</w:t>
      </w:r>
    </w:p>
    <w:p w:rsidR="00934C54" w:rsidRPr="00942CF4" w:rsidRDefault="00934C54" w:rsidP="00934C54">
      <w:pPr>
        <w:pStyle w:val="10"/>
        <w:adjustRightInd w:val="0"/>
        <w:snapToGrid w:val="0"/>
        <w:spacing w:before="0" w:line="440" w:lineRule="exact"/>
        <w:jc w:val="left"/>
        <w:rPr>
          <w:rFonts w:asciiTheme="minorEastAsia" w:eastAsiaTheme="minorEastAsia" w:hAnsiTheme="minorEastAsia" w:cstheme="minorBidi"/>
          <w:sz w:val="24"/>
          <w:szCs w:val="24"/>
        </w:rPr>
      </w:pPr>
      <w:r w:rsidRPr="00942CF4">
        <w:rPr>
          <w:rFonts w:asciiTheme="minorEastAsia" w:eastAsiaTheme="minorEastAsia" w:hAnsiTheme="minorEastAsia" w:hint="eastAsia"/>
          <w:sz w:val="24"/>
        </w:rPr>
        <w:t>第五部分附表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44</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一、收入支出决算总表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45</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二、收入决算表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46</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三、支出决算表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47</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四、财政拨款收入支出决算总表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48</w:t>
      </w:r>
    </w:p>
    <w:p w:rsidR="00934C54" w:rsidRPr="00942CF4" w:rsidRDefault="00934C54" w:rsidP="00934C54">
      <w:pPr>
        <w:pStyle w:val="21"/>
        <w:adjustRightInd w:val="0"/>
        <w:snapToGrid w:val="0"/>
        <w:spacing w:line="440" w:lineRule="exact"/>
        <w:jc w:val="left"/>
        <w:rPr>
          <w:rFonts w:asciiTheme="minorEastAsia" w:eastAsiaTheme="minorEastAsia" w:hAnsiTheme="minorEastAsia"/>
          <w:sz w:val="24"/>
        </w:rPr>
      </w:pPr>
      <w:r w:rsidRPr="00942CF4">
        <w:rPr>
          <w:rFonts w:asciiTheme="minorEastAsia" w:eastAsiaTheme="minorEastAsia" w:hAnsiTheme="minorEastAsia" w:hint="eastAsia"/>
          <w:sz w:val="24"/>
        </w:rPr>
        <w:t>五、财政拨款支出决算明细表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49</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lastRenderedPageBreak/>
        <w:t>六、一般公共预算财政拨款支出决算表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50</w:t>
      </w:r>
    </w:p>
    <w:p w:rsidR="00934C54" w:rsidRPr="00942CF4" w:rsidRDefault="00934C54" w:rsidP="00934C54">
      <w:pPr>
        <w:pStyle w:val="21"/>
        <w:adjustRightInd w:val="0"/>
        <w:snapToGrid w:val="0"/>
        <w:spacing w:line="440" w:lineRule="exact"/>
        <w:jc w:val="left"/>
        <w:rPr>
          <w:rFonts w:asciiTheme="minorEastAsia" w:eastAsiaTheme="minorEastAsia" w:hAnsiTheme="minorEastAsia" w:cstheme="minorBidi"/>
          <w:sz w:val="24"/>
        </w:rPr>
      </w:pPr>
      <w:r w:rsidRPr="00942CF4">
        <w:rPr>
          <w:rFonts w:asciiTheme="minorEastAsia" w:eastAsiaTheme="minorEastAsia" w:hAnsiTheme="minorEastAsia" w:hint="eastAsia"/>
          <w:sz w:val="24"/>
        </w:rPr>
        <w:t>七、一般公共预算财政拨款支出决算明细表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51</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八、</w:t>
      </w:r>
      <w:r w:rsidRPr="00833962">
        <w:rPr>
          <w:rFonts w:hint="eastAsia"/>
          <w:sz w:val="24"/>
        </w:rPr>
        <w:t>一般公共预算财政拨款基本支出决算表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52</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九、</w:t>
      </w:r>
      <w:r w:rsidRPr="00833962">
        <w:rPr>
          <w:rFonts w:hint="eastAsia"/>
          <w:sz w:val="24"/>
        </w:rPr>
        <w:t>一般公共预算财政拨款项目支出决算表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53</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w:t>
      </w:r>
      <w:r w:rsidRPr="00833962">
        <w:rPr>
          <w:rFonts w:hint="eastAsia"/>
          <w:sz w:val="24"/>
        </w:rPr>
        <w:t>一般公共预算财政拨款“三公”经费支出决算表</w:t>
      </w:r>
      <w:r w:rsidRPr="00942CF4">
        <w:rPr>
          <w:rFonts w:asciiTheme="minorEastAsia" w:eastAsiaTheme="minorEastAsia" w:hAnsiTheme="minorEastAsia"/>
          <w:sz w:val="24"/>
        </w:rPr>
        <w:tab/>
      </w:r>
      <w:r>
        <w:rPr>
          <w:rFonts w:asciiTheme="minorEastAsia" w:eastAsiaTheme="minorEastAsia" w:hAnsiTheme="minorEastAsia" w:hint="eastAsia"/>
          <w:sz w:val="24"/>
        </w:rPr>
        <w:t>5</w:t>
      </w:r>
      <w:r w:rsidR="0091707C">
        <w:rPr>
          <w:rFonts w:asciiTheme="minorEastAsia" w:eastAsiaTheme="minorEastAsia" w:hAnsiTheme="minorEastAsia" w:hint="eastAsia"/>
          <w:sz w:val="24"/>
        </w:rPr>
        <w:t>4</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十一、</w:t>
      </w:r>
      <w:r w:rsidRPr="00833962">
        <w:rPr>
          <w:rFonts w:hint="eastAsia"/>
          <w:sz w:val="24"/>
        </w:rPr>
        <w:t>政府性基金预算财政拨款收入支出决算表</w:t>
      </w:r>
      <w:r w:rsidRPr="00942CF4">
        <w:rPr>
          <w:rFonts w:asciiTheme="minorEastAsia" w:eastAsiaTheme="minorEastAsia" w:hAnsiTheme="minorEastAsia"/>
          <w:sz w:val="24"/>
        </w:rPr>
        <w:tab/>
      </w:r>
      <w:r>
        <w:rPr>
          <w:rFonts w:asciiTheme="minorEastAsia" w:eastAsiaTheme="minorEastAsia" w:hAnsiTheme="minorEastAsia" w:hint="eastAsia"/>
          <w:sz w:val="24"/>
        </w:rPr>
        <w:t>5</w:t>
      </w:r>
      <w:r w:rsidR="0091707C">
        <w:rPr>
          <w:rFonts w:asciiTheme="minorEastAsia" w:eastAsiaTheme="minorEastAsia" w:hAnsiTheme="minorEastAsia" w:hint="eastAsia"/>
          <w:sz w:val="24"/>
        </w:rPr>
        <w:t>5</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十二、</w:t>
      </w:r>
      <w:r w:rsidRPr="00833962">
        <w:rPr>
          <w:rFonts w:hint="eastAsia"/>
          <w:sz w:val="24"/>
        </w:rPr>
        <w:t>政府性基金预算财政拨款“三公”经费支出决算表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56</w:t>
      </w:r>
    </w:p>
    <w:p w:rsidR="00934C54" w:rsidRDefault="00934C54" w:rsidP="00934C54">
      <w:pPr>
        <w:pStyle w:val="21"/>
        <w:adjustRightInd w:val="0"/>
        <w:snapToGrid w:val="0"/>
        <w:spacing w:line="440" w:lineRule="exact"/>
        <w:jc w:val="left"/>
        <w:rPr>
          <w:rFonts w:ascii="仿宋" w:eastAsia="仿宋" w:hAnsi="仿宋" w:cstheme="minorBidi"/>
          <w:sz w:val="24"/>
        </w:rPr>
      </w:pPr>
      <w:r w:rsidRPr="00833962">
        <w:rPr>
          <w:rFonts w:ascii="仿宋" w:eastAsia="仿宋" w:hAnsi="仿宋" w:hint="eastAsia"/>
          <w:sz w:val="24"/>
        </w:rPr>
        <w:t>十三、</w:t>
      </w:r>
      <w:r w:rsidRPr="00833962">
        <w:rPr>
          <w:rFonts w:hint="eastAsia"/>
          <w:sz w:val="24"/>
        </w:rPr>
        <w:t>国有资本经营预算支出决算表</w:t>
      </w:r>
      <w:r w:rsidRPr="00942CF4">
        <w:rPr>
          <w:rFonts w:asciiTheme="minorEastAsia" w:eastAsiaTheme="minorEastAsia" w:hAnsiTheme="minorEastAsia"/>
          <w:sz w:val="24"/>
        </w:rPr>
        <w:tab/>
      </w:r>
      <w:r w:rsidR="0091707C">
        <w:rPr>
          <w:rFonts w:asciiTheme="minorEastAsia" w:eastAsiaTheme="minorEastAsia" w:hAnsiTheme="minorEastAsia" w:hint="eastAsia"/>
          <w:sz w:val="24"/>
        </w:rPr>
        <w:t>57</w:t>
      </w:r>
    </w:p>
    <w:p w:rsidR="00934C54" w:rsidRPr="00934C54" w:rsidRDefault="00934C54" w:rsidP="00934C54">
      <w:pPr>
        <w:widowControl/>
        <w:adjustRightInd w:val="0"/>
        <w:snapToGrid w:val="0"/>
        <w:spacing w:line="440" w:lineRule="exact"/>
        <w:ind w:firstLineChars="550" w:firstLine="1325"/>
        <w:jc w:val="left"/>
        <w:rPr>
          <w:rFonts w:ascii="仿宋" w:eastAsia="仿宋" w:hAnsi="仿宋"/>
          <w:bCs/>
          <w:kern w:val="44"/>
          <w:sz w:val="24"/>
        </w:rPr>
      </w:pPr>
      <w:r w:rsidRPr="00833962">
        <w:rPr>
          <w:rFonts w:ascii="仿宋" w:eastAsia="仿宋" w:hAnsi="仿宋"/>
          <w:b/>
          <w:sz w:val="24"/>
        </w:rPr>
        <w:br w:type="page"/>
      </w:r>
    </w:p>
    <w:p w:rsidR="00934184" w:rsidRDefault="00934184" w:rsidP="00934184">
      <w:pPr>
        <w:pStyle w:val="1"/>
        <w:jc w:val="center"/>
        <w:rPr>
          <w:rStyle w:val="1Char"/>
          <w:rFonts w:ascii="黑体" w:eastAsia="黑体" w:hAnsi="黑体"/>
        </w:rPr>
      </w:pPr>
      <w:bookmarkStart w:id="10" w:name="OLE_LINK4"/>
      <w:bookmarkEnd w:id="0"/>
      <w:r>
        <w:rPr>
          <w:rFonts w:ascii="黑体" w:eastAsia="黑体" w:hAnsi="黑体" w:hint="eastAsia"/>
          <w:b w:val="0"/>
        </w:rPr>
        <w:lastRenderedPageBreak/>
        <w:t xml:space="preserve">第一部分 </w:t>
      </w:r>
      <w:r>
        <w:rPr>
          <w:rStyle w:val="1Char"/>
          <w:rFonts w:ascii="黑体" w:eastAsia="黑体" w:hAnsi="黑体" w:hint="eastAsia"/>
        </w:rPr>
        <w:t>部门概况</w:t>
      </w:r>
    </w:p>
    <w:p w:rsidR="00934184" w:rsidRPr="00AA7249" w:rsidRDefault="00934184" w:rsidP="00934184">
      <w:pPr>
        <w:pStyle w:val="1"/>
        <w:rPr>
          <w:rStyle w:val="2Char"/>
          <w:rFonts w:ascii="黑体" w:eastAsia="黑体" w:hAnsi="黑体" w:cs="黑体"/>
          <w:kern w:val="2"/>
        </w:rPr>
      </w:pPr>
      <w:r w:rsidRPr="00AA7249">
        <w:rPr>
          <w:rStyle w:val="2Char"/>
          <w:rFonts w:ascii="黑体" w:eastAsia="黑体" w:hAnsi="黑体" w:cs="黑体" w:hint="eastAsia"/>
        </w:rPr>
        <w:t>一、基</w:t>
      </w:r>
      <w:r>
        <w:rPr>
          <w:rStyle w:val="2Char"/>
          <w:rFonts w:ascii="黑体" w:eastAsia="黑体" w:hAnsi="黑体" w:cs="黑体" w:hint="eastAsia"/>
        </w:rPr>
        <w:t>本职能及主要工作</w:t>
      </w:r>
    </w:p>
    <w:p w:rsidR="006A591A" w:rsidRPr="006A591A" w:rsidRDefault="00B667BF" w:rsidP="006A591A">
      <w:pPr>
        <w:pStyle w:val="a5"/>
        <w:spacing w:before="72"/>
        <w:ind w:firstLineChars="147" w:firstLine="516"/>
        <w:outlineLvl w:val="2"/>
        <w:rPr>
          <w:rFonts w:ascii="仿宋_GB2312" w:eastAsia="仿宋_GB2312" w:cs="仿宋_GB2312"/>
          <w:b/>
          <w:spacing w:val="15"/>
          <w:sz w:val="32"/>
          <w:szCs w:val="32"/>
          <w:shd w:val="clear" w:color="auto" w:fill="FFFFFF"/>
        </w:rPr>
      </w:pPr>
      <w:r>
        <w:rPr>
          <w:rFonts w:ascii="仿宋_GB2312" w:eastAsia="仿宋_GB2312" w:cs="仿宋_GB2312" w:hint="eastAsia"/>
          <w:b/>
          <w:spacing w:val="15"/>
          <w:sz w:val="32"/>
          <w:szCs w:val="32"/>
          <w:shd w:val="clear" w:color="auto" w:fill="FFFFFF"/>
        </w:rPr>
        <w:t>（一）主要职能</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2.负责建成区内市容环境卫生和市容市貌工作，组织协调专项治理和城市管理重大活动。</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3.负责市政设施、园林绿化、城市照明、城市公园管理维护等方面工作及户外广告等管理利用。</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4.负责制定职责范围内的城市维护费（新、改、扩建市政设施部分除外）和专项经费的年度计划和局属事业单位的资金核拨，并对使用情况实施监督。</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5.住房城乡建设领域法律法规规章规定的全部行政处罚权。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6.生态环境管理方面社会生活噪声污染、建筑施工噪声污染、建筑施工扬尘污染、餐饮服务业油烟污染、露天烧烤污染、城市焚烧沥青塑料垃圾等烟尘和恶臭污</w:t>
      </w:r>
      <w:r w:rsidRPr="006A591A">
        <w:rPr>
          <w:rFonts w:ascii="仿宋_GB2312" w:eastAsia="仿宋_GB2312" w:cs="仿宋_GB2312" w:hint="eastAsia"/>
          <w:bCs/>
          <w:spacing w:val="15"/>
          <w:sz w:val="32"/>
          <w:szCs w:val="32"/>
          <w:shd w:val="clear" w:color="auto" w:fill="FFFFFF"/>
        </w:rPr>
        <w:lastRenderedPageBreak/>
        <w:t>染、露天焚烧秸秆落叶等烟尘污染、燃放烟花爆竹污染等的行政处罚权。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7.市场监督管理管理方面户外公共场所无照经营、违规设置户外广告的行政处罚权。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8.水利管理方面向城市河道倾倒废弃物和垃圾及违规取土、城市河道违法建筑物拆除等的行政处罚权。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9.食品药品监管方面户外公共场所食品销售和餐饮摊点无证经营、违法回收贩卖药品等的行政处罚权。</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10.承担市政府公布的行政审批和公共服务事项。</w:t>
      </w:r>
    </w:p>
    <w:p w:rsidR="006A591A" w:rsidRPr="006A591A" w:rsidRDefault="006A591A" w:rsidP="006A591A">
      <w:pPr>
        <w:pStyle w:val="a5"/>
        <w:spacing w:before="72" w:line="600" w:lineRule="exact"/>
        <w:ind w:firstLine="675"/>
        <w:outlineLvl w:val="2"/>
        <w:rPr>
          <w:rFonts w:ascii="仿宋_GB2312" w:eastAsia="仿宋_GB2312" w:cs="仿宋_GB2312"/>
          <w:bCs/>
          <w:spacing w:val="15"/>
          <w:sz w:val="32"/>
          <w:szCs w:val="32"/>
          <w:shd w:val="clear" w:color="auto" w:fill="FFFFFF"/>
        </w:rPr>
      </w:pPr>
      <w:r w:rsidRPr="006A591A">
        <w:rPr>
          <w:rFonts w:ascii="仿宋_GB2312" w:eastAsia="仿宋_GB2312" w:cs="仿宋_GB2312" w:hint="eastAsia"/>
          <w:bCs/>
          <w:spacing w:val="15"/>
          <w:sz w:val="32"/>
          <w:szCs w:val="32"/>
          <w:shd w:val="clear" w:color="auto" w:fill="FFFFFF"/>
        </w:rPr>
        <w:t>11.承办市政府交办的其他事项。</w:t>
      </w:r>
      <w:r w:rsidRPr="006A591A">
        <w:rPr>
          <w:rFonts w:ascii="仿宋_GB2312" w:eastAsia="仿宋_GB2312" w:cs="仿宋_GB2312" w:hint="eastAsia"/>
          <w:bCs/>
          <w:spacing w:val="15"/>
          <w:sz w:val="32"/>
          <w:szCs w:val="32"/>
          <w:shd w:val="clear" w:color="auto" w:fill="FFFFFF"/>
        </w:rPr>
        <w:t> </w:t>
      </w:r>
    </w:p>
    <w:p w:rsidR="00934184" w:rsidRPr="00CD3115" w:rsidRDefault="00934184" w:rsidP="00D31DE7">
      <w:pPr>
        <w:pStyle w:val="a5"/>
        <w:adjustRightInd w:val="0"/>
        <w:snapToGrid w:val="0"/>
        <w:spacing w:before="72" w:line="600" w:lineRule="exact"/>
        <w:ind w:firstLineChars="210" w:firstLine="675"/>
        <w:outlineLvl w:val="2"/>
        <w:rPr>
          <w:rFonts w:ascii="楷体_GB2312" w:eastAsia="楷体_GB2312" w:hAnsi="仿宋" w:cs="仿宋"/>
          <w:b/>
          <w:color w:val="000000"/>
          <w:sz w:val="32"/>
          <w:szCs w:val="32"/>
        </w:rPr>
      </w:pPr>
      <w:r w:rsidRPr="00CD3115">
        <w:rPr>
          <w:rFonts w:ascii="楷体_GB2312" w:eastAsia="楷体_GB2312" w:hAnsi="仿宋" w:hint="eastAsia"/>
          <w:b/>
          <w:bCs/>
          <w:color w:val="000000"/>
          <w:sz w:val="32"/>
          <w:szCs w:val="32"/>
        </w:rPr>
        <w:t>（二）20</w:t>
      </w:r>
      <w:r w:rsidR="00C64E6E">
        <w:rPr>
          <w:rFonts w:ascii="楷体_GB2312" w:eastAsia="楷体_GB2312" w:hAnsi="仿宋" w:hint="eastAsia"/>
          <w:b/>
          <w:bCs/>
          <w:color w:val="000000"/>
          <w:sz w:val="32"/>
          <w:szCs w:val="32"/>
        </w:rPr>
        <w:t>21</w:t>
      </w:r>
      <w:r w:rsidRPr="00CD3115">
        <w:rPr>
          <w:rFonts w:ascii="楷体_GB2312" w:eastAsia="楷体_GB2312" w:hAnsi="仿宋" w:hint="eastAsia"/>
          <w:b/>
          <w:bCs/>
          <w:color w:val="000000"/>
          <w:sz w:val="32"/>
          <w:szCs w:val="32"/>
        </w:rPr>
        <w:t>重点工作完成情况</w:t>
      </w:r>
    </w:p>
    <w:p w:rsidR="00C64E6E" w:rsidRDefault="00C64E6E" w:rsidP="00C64E6E">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市城管执法局在市委、市政府的坚强领导下，坚定以习近平新时代中国特色社会主义思想为指导，以“一年三述七化三服务”为抓手，以“我为群众办实事”为平台，深入贯彻“三比三看”，坚持抓细节、出精品、治乱象、树形</w:t>
      </w:r>
      <w:proofErr w:type="gramStart"/>
      <w:r>
        <w:rPr>
          <w:rFonts w:ascii="仿宋_GB2312" w:eastAsia="仿宋_GB2312" w:hAnsi="仿宋_GB2312" w:cs="仿宋_GB2312" w:hint="eastAsia"/>
          <w:sz w:val="32"/>
          <w:szCs w:val="32"/>
        </w:rPr>
        <w:t>象</w:t>
      </w:r>
      <w:proofErr w:type="gramEnd"/>
      <w:r>
        <w:rPr>
          <w:rFonts w:ascii="仿宋_GB2312" w:eastAsia="仿宋_GB2312" w:hAnsi="仿宋_GB2312" w:cs="仿宋_GB2312" w:hint="eastAsia"/>
          <w:sz w:val="32"/>
          <w:szCs w:val="32"/>
        </w:rPr>
        <w:t>，各项重点工作扎实推进，取得了以下9个方面显著成绩。</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（一）市容秩序管护全面加强。</w:t>
      </w:r>
      <w:r>
        <w:rPr>
          <w:rFonts w:ascii="仿宋_GB2312" w:eastAsia="仿宋_GB2312" w:hAnsi="仿宋_GB2312" w:cs="仿宋_GB2312" w:hint="eastAsia"/>
          <w:sz w:val="32"/>
          <w:szCs w:val="32"/>
        </w:rPr>
        <w:t>出台《德阳市“门前五包”责任制管理办法》，大力开展市容环境大治理和爱国卫生运动，集中治理卫生死角3200余处，维修人行道及车行道8000余平方米，整治维修检查井700余口，有序取缔</w:t>
      </w:r>
      <w:proofErr w:type="gramStart"/>
      <w:r>
        <w:rPr>
          <w:rFonts w:ascii="仿宋_GB2312" w:eastAsia="仿宋_GB2312" w:hAnsi="仿宋_GB2312" w:cs="仿宋_GB2312" w:hint="eastAsia"/>
          <w:sz w:val="32"/>
          <w:szCs w:val="32"/>
        </w:rPr>
        <w:t>旌</w:t>
      </w:r>
      <w:proofErr w:type="gramEnd"/>
      <w:r>
        <w:rPr>
          <w:rFonts w:ascii="仿宋_GB2312" w:eastAsia="仿宋_GB2312" w:hAnsi="仿宋_GB2312" w:cs="仿宋_GB2312" w:hint="eastAsia"/>
          <w:sz w:val="32"/>
          <w:szCs w:val="32"/>
        </w:rPr>
        <w:t>湖沿岸等3个临时便民服务点，助力我市成功通过国家卫生</w:t>
      </w:r>
      <w:r>
        <w:rPr>
          <w:rFonts w:ascii="仿宋_GB2312" w:eastAsia="仿宋_GB2312" w:hAnsi="仿宋_GB2312" w:cs="仿宋_GB2312" w:hint="eastAsia"/>
          <w:sz w:val="32"/>
          <w:szCs w:val="32"/>
        </w:rPr>
        <w:lastRenderedPageBreak/>
        <w:t>城市复审暗访。在党史学习教育中，持续开展“点亮头顶灯”“清理臭水沟”“维修小井盖”等实践活动，不断增强群众在城市管理服务中的幸福感获得感，“党史有声读书墙”相关做法受到</w:t>
      </w:r>
      <w:proofErr w:type="gramStart"/>
      <w:r>
        <w:rPr>
          <w:rFonts w:ascii="仿宋_GB2312" w:eastAsia="仿宋_GB2312" w:hAnsi="仿宋_GB2312" w:cs="仿宋_GB2312" w:hint="eastAsia"/>
          <w:sz w:val="32"/>
          <w:szCs w:val="32"/>
        </w:rPr>
        <w:t>省委学教办</w:t>
      </w:r>
      <w:proofErr w:type="gramEnd"/>
      <w:r>
        <w:rPr>
          <w:rFonts w:ascii="仿宋_GB2312" w:eastAsia="仿宋_GB2312" w:hAnsi="仿宋_GB2312" w:cs="仿宋_GB2312" w:hint="eastAsia"/>
          <w:sz w:val="32"/>
          <w:szCs w:val="32"/>
        </w:rPr>
        <w:t>充分肯定，并送省委省政府主要领导参阅。</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（二）法治城管建设不断深入。</w:t>
      </w:r>
      <w:r>
        <w:rPr>
          <w:rFonts w:ascii="仿宋_GB2312" w:eastAsia="仿宋_GB2312" w:hAnsi="仿宋_GB2312" w:cs="仿宋_GB2312" w:hint="eastAsia"/>
          <w:sz w:val="32"/>
          <w:szCs w:val="32"/>
        </w:rPr>
        <w:t>深入落实行政执法“三项制度”，编制实施《不予处罚事项清单》《减轻处罚事项清单》《从轻处罚事项清单》，创新推进行政执法“三书模式”改革，助力激发市场活力，优化营商环境。与西南政法大学共建教学科研实践基地，</w:t>
      </w:r>
      <w:proofErr w:type="gramStart"/>
      <w:r>
        <w:rPr>
          <w:rFonts w:ascii="仿宋_GB2312" w:eastAsia="仿宋_GB2312" w:hAnsi="仿宋_GB2312" w:cs="仿宋_GB2312" w:hint="eastAsia"/>
          <w:sz w:val="32"/>
          <w:szCs w:val="32"/>
        </w:rPr>
        <w:t>实现线</w:t>
      </w:r>
      <w:proofErr w:type="gramEnd"/>
      <w:r>
        <w:rPr>
          <w:rFonts w:ascii="仿宋_GB2312" w:eastAsia="仿宋_GB2312" w:hAnsi="仿宋_GB2312" w:cs="仿宋_GB2312" w:hint="eastAsia"/>
          <w:sz w:val="32"/>
          <w:szCs w:val="32"/>
        </w:rPr>
        <w:t>上线下执法业务骨干</w:t>
      </w:r>
      <w:proofErr w:type="gramStart"/>
      <w:r>
        <w:rPr>
          <w:rFonts w:ascii="仿宋_GB2312" w:eastAsia="仿宋_GB2312" w:hAnsi="仿宋_GB2312" w:cs="仿宋_GB2312" w:hint="eastAsia"/>
          <w:sz w:val="32"/>
          <w:szCs w:val="32"/>
        </w:rPr>
        <w:t>轮训全</w:t>
      </w:r>
      <w:proofErr w:type="gramEnd"/>
      <w:r>
        <w:rPr>
          <w:rFonts w:ascii="仿宋_GB2312" w:eastAsia="仿宋_GB2312" w:hAnsi="仿宋_GB2312" w:cs="仿宋_GB2312" w:hint="eastAsia"/>
          <w:sz w:val="32"/>
          <w:szCs w:val="32"/>
        </w:rPr>
        <w:t>覆盖。</w:t>
      </w:r>
      <w:proofErr w:type="gramStart"/>
      <w:r>
        <w:rPr>
          <w:rFonts w:ascii="仿宋_GB2312" w:eastAsia="仿宋_GB2312" w:hAnsi="仿宋_GB2312" w:cs="仿宋_GB2312" w:hint="eastAsia"/>
          <w:sz w:val="32"/>
          <w:szCs w:val="32"/>
        </w:rPr>
        <w:t>在省住建</w:t>
      </w:r>
      <w:proofErr w:type="gramEnd"/>
      <w:r>
        <w:rPr>
          <w:rFonts w:ascii="仿宋_GB2312" w:eastAsia="仿宋_GB2312" w:hAnsi="仿宋_GB2312" w:cs="仿宋_GB2312" w:hint="eastAsia"/>
          <w:sz w:val="32"/>
          <w:szCs w:val="32"/>
        </w:rPr>
        <w:t>厅组织的近三年行政执法案件质量评查中，获21个市州第一名；在市级部门2021年行政执法案卷评查中，成为唯一</w:t>
      </w:r>
      <w:proofErr w:type="gramStart"/>
      <w:r>
        <w:rPr>
          <w:rFonts w:ascii="仿宋_GB2312" w:eastAsia="仿宋_GB2312" w:hAnsi="仿宋_GB2312" w:cs="仿宋_GB2312" w:hint="eastAsia"/>
          <w:sz w:val="32"/>
          <w:szCs w:val="32"/>
        </w:rPr>
        <w:t>一个</w:t>
      </w:r>
      <w:proofErr w:type="gramEnd"/>
      <w:r>
        <w:rPr>
          <w:rFonts w:ascii="仿宋_GB2312" w:eastAsia="仿宋_GB2312" w:hAnsi="仿宋_GB2312" w:cs="仿宋_GB2312" w:hint="eastAsia"/>
          <w:sz w:val="32"/>
          <w:szCs w:val="32"/>
        </w:rPr>
        <w:t>案卷全部被评为优秀的市级部门。</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（三）生活垃圾分类持续深化。</w:t>
      </w:r>
      <w:r>
        <w:rPr>
          <w:rFonts w:ascii="仿宋_GB2312" w:eastAsia="仿宋_GB2312" w:hAnsi="仿宋_GB2312" w:cs="仿宋_GB2312" w:hint="eastAsia"/>
          <w:sz w:val="32"/>
          <w:szCs w:val="32"/>
        </w:rPr>
        <w:t>在2020年如期完成全国重点城市示范任务基础上，与深圳市开展“1对1”交流协作，启动“蒲公英计划”，扎实推进“撤桶并点”、“桶边督导”和“定点定时”投放工作，生活垃圾回收利用率达36.67%。立足服务生产生活方式绿色转型，精心制定《德阳市进一步推进生活垃圾分类工作实施方案（2021—2025年）》。牵头起草的《德阳市餐厨垃圾管理办法》于2021年6月1日正式施行，联合推进餐</w:t>
      </w:r>
      <w:proofErr w:type="gramStart"/>
      <w:r>
        <w:rPr>
          <w:rFonts w:ascii="仿宋_GB2312" w:eastAsia="仿宋_GB2312" w:hAnsi="仿宋_GB2312" w:cs="仿宋_GB2312" w:hint="eastAsia"/>
          <w:sz w:val="32"/>
          <w:szCs w:val="32"/>
        </w:rPr>
        <w:t>厨</w:t>
      </w:r>
      <w:proofErr w:type="gramEnd"/>
      <w:r>
        <w:rPr>
          <w:rFonts w:ascii="仿宋_GB2312" w:eastAsia="仿宋_GB2312" w:hAnsi="仿宋_GB2312" w:cs="仿宋_GB2312" w:hint="eastAsia"/>
          <w:sz w:val="32"/>
          <w:szCs w:val="32"/>
        </w:rPr>
        <w:t>垃圾和市政污泥特许经营，年内可实现财政收入近5亿元。探索总结的“三定</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督4+3”德阳分类模式</w:t>
      </w:r>
      <w:proofErr w:type="gramStart"/>
      <w:r>
        <w:rPr>
          <w:rFonts w:ascii="仿宋_GB2312" w:eastAsia="仿宋_GB2312" w:hAnsi="仿宋_GB2312" w:cs="仿宋_GB2312" w:hint="eastAsia"/>
          <w:sz w:val="32"/>
          <w:szCs w:val="32"/>
        </w:rPr>
        <w:t>被省住建</w:t>
      </w:r>
      <w:proofErr w:type="gramEnd"/>
      <w:r>
        <w:rPr>
          <w:rFonts w:ascii="仿宋_GB2312" w:eastAsia="仿宋_GB2312" w:hAnsi="仿宋_GB2312" w:cs="仿宋_GB2312" w:hint="eastAsia"/>
          <w:sz w:val="32"/>
          <w:szCs w:val="32"/>
        </w:rPr>
        <w:t>厅通报表扬、推广。</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（四）城乡环境</w:t>
      </w:r>
      <w:proofErr w:type="gramStart"/>
      <w:r>
        <w:rPr>
          <w:rFonts w:ascii="楷体_GB2312" w:eastAsia="楷体_GB2312" w:hAnsi="楷体_GB2312" w:cs="楷体_GB2312" w:hint="eastAsia"/>
          <w:b/>
          <w:bCs/>
          <w:sz w:val="32"/>
          <w:szCs w:val="32"/>
        </w:rPr>
        <w:t>颜值有力</w:t>
      </w:r>
      <w:proofErr w:type="gramEnd"/>
      <w:r>
        <w:rPr>
          <w:rFonts w:ascii="楷体_GB2312" w:eastAsia="楷体_GB2312" w:hAnsi="楷体_GB2312" w:cs="楷体_GB2312" w:hint="eastAsia"/>
          <w:b/>
          <w:bCs/>
          <w:sz w:val="32"/>
          <w:szCs w:val="32"/>
        </w:rPr>
        <w:t>提升。</w:t>
      </w:r>
      <w:r>
        <w:rPr>
          <w:rFonts w:ascii="仿宋_GB2312" w:eastAsia="仿宋_GB2312" w:hAnsi="仿宋_GB2312" w:cs="仿宋_GB2312" w:hint="eastAsia"/>
          <w:sz w:val="32"/>
          <w:szCs w:val="32"/>
        </w:rPr>
        <w:t>深入贯彻新修订的《四</w:t>
      </w:r>
      <w:r>
        <w:rPr>
          <w:rFonts w:ascii="仿宋_GB2312" w:eastAsia="仿宋_GB2312" w:hAnsi="仿宋_GB2312" w:cs="仿宋_GB2312" w:hint="eastAsia"/>
          <w:sz w:val="32"/>
          <w:szCs w:val="32"/>
        </w:rPr>
        <w:lastRenderedPageBreak/>
        <w:t>川省城乡环境综合治理条例》，全市71个乡镇816个行政村的生活垃圾收转运处覆盖率达97%以上，保洁员覆盖率达100%，农村垃圾处理长效机制不断健全。扎实推进铁路沿线安全环境治理，建立健全“双段长”路地联动机制，今年来共排查出隐患问题697个，截至目前已完成销号682处，累计投入整治资金600余万元。</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（五）重点项目建设扎实推进。</w:t>
      </w:r>
      <w:r>
        <w:rPr>
          <w:rFonts w:ascii="仿宋_GB2312" w:eastAsia="仿宋_GB2312" w:hAnsi="仿宋_GB2312" w:cs="仿宋_GB2312" w:hint="eastAsia"/>
          <w:sz w:val="32"/>
          <w:szCs w:val="32"/>
        </w:rPr>
        <w:t>出台《德阳市城乡垃圾处理设施建设三年推进方案（2021-2023年）》，统筹实施项目15个、计划投资9.18亿元，截止10月底，开工10个、完成投资1.1亿元。部署开展“厕所革命”三年提升行动，2021年新改建公厕126座、改造农村户</w:t>
      </w:r>
      <w:proofErr w:type="gramStart"/>
      <w:r>
        <w:rPr>
          <w:rFonts w:ascii="仿宋_GB2312" w:eastAsia="仿宋_GB2312" w:hAnsi="仿宋_GB2312" w:cs="仿宋_GB2312" w:hint="eastAsia"/>
          <w:sz w:val="32"/>
          <w:szCs w:val="32"/>
        </w:rPr>
        <w:t>厕</w:t>
      </w:r>
      <w:proofErr w:type="gramEnd"/>
      <w:r>
        <w:rPr>
          <w:rFonts w:ascii="仿宋_GB2312" w:eastAsia="仿宋_GB2312" w:hAnsi="仿宋_GB2312" w:cs="仿宋_GB2312" w:hint="eastAsia"/>
          <w:sz w:val="32"/>
          <w:szCs w:val="32"/>
        </w:rPr>
        <w:t>42665座的年度任务已完成90%。加快推进青衣江路、泰山路等市政道路维修整治工程，10月10日开工以来进展顺利，已完成总体工程量的80%，预计12月初竣工通车。同时，积极抢抓政策窗口期，大力推进垃圾处理</w:t>
      </w:r>
      <w:proofErr w:type="gramStart"/>
      <w:r>
        <w:rPr>
          <w:rFonts w:ascii="仿宋_GB2312" w:eastAsia="仿宋_GB2312" w:hAnsi="仿宋_GB2312" w:cs="仿宋_GB2312" w:hint="eastAsia"/>
          <w:sz w:val="32"/>
          <w:szCs w:val="32"/>
        </w:rPr>
        <w:t>项目国开行</w:t>
      </w:r>
      <w:proofErr w:type="gramEnd"/>
      <w:r>
        <w:rPr>
          <w:rFonts w:ascii="仿宋_GB2312" w:eastAsia="仿宋_GB2312" w:hAnsi="仿宋_GB2312" w:cs="仿宋_GB2312" w:hint="eastAsia"/>
          <w:sz w:val="32"/>
          <w:szCs w:val="32"/>
        </w:rPr>
        <w:t>贷款，首批包装项目10个、总投资23.12亿元、拟申请贷款18.49亿元，市本级、广汉市、什邡</w:t>
      </w:r>
      <w:proofErr w:type="gramStart"/>
      <w:r>
        <w:rPr>
          <w:rFonts w:ascii="仿宋_GB2312" w:eastAsia="仿宋_GB2312" w:hAnsi="仿宋_GB2312" w:cs="仿宋_GB2312" w:hint="eastAsia"/>
          <w:sz w:val="32"/>
          <w:szCs w:val="32"/>
        </w:rPr>
        <w:t>市项目</w:t>
      </w:r>
      <w:proofErr w:type="gramEnd"/>
      <w:r>
        <w:rPr>
          <w:rFonts w:ascii="仿宋_GB2312" w:eastAsia="仿宋_GB2312" w:hAnsi="仿宋_GB2312" w:cs="仿宋_GB2312" w:hint="eastAsia"/>
          <w:sz w:val="32"/>
          <w:szCs w:val="32"/>
        </w:rPr>
        <w:t>贷款进展顺利，有望在今年底取得授信批复。</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（六）城市防汛排涝扛起重担。</w:t>
      </w:r>
      <w:r>
        <w:rPr>
          <w:rFonts w:ascii="仿宋_GB2312" w:eastAsia="仿宋_GB2312" w:hAnsi="仿宋_GB2312" w:cs="仿宋_GB2312" w:hint="eastAsia"/>
          <w:sz w:val="32"/>
          <w:szCs w:val="32"/>
        </w:rPr>
        <w:t>及早</w:t>
      </w:r>
      <w:proofErr w:type="gramStart"/>
      <w:r>
        <w:rPr>
          <w:rFonts w:ascii="仿宋_GB2312" w:eastAsia="仿宋_GB2312" w:hAnsi="仿宋_GB2312" w:cs="仿宋_GB2312" w:hint="eastAsia"/>
          <w:sz w:val="32"/>
          <w:szCs w:val="32"/>
        </w:rPr>
        <w:t>修订局</w:t>
      </w:r>
      <w:proofErr w:type="gramEnd"/>
      <w:r>
        <w:rPr>
          <w:rFonts w:ascii="仿宋_GB2312" w:eastAsia="仿宋_GB2312" w:hAnsi="仿宋_GB2312" w:cs="仿宋_GB2312" w:hint="eastAsia"/>
          <w:sz w:val="32"/>
          <w:szCs w:val="32"/>
        </w:rPr>
        <w:t>《2021年城市防汛排涝抢险应急预案》，制定《暴雨红色预警Ⅰ级响应工作细则》，6月之前完成对11643座雨水口、605座检查井、12座泵站蓄水池、850米下穿隧道边沟等排水设施的清掏疏浚，</w:t>
      </w:r>
      <w:proofErr w:type="gramStart"/>
      <w:r>
        <w:rPr>
          <w:rFonts w:ascii="仿宋_GB2312" w:eastAsia="仿宋_GB2312" w:hAnsi="仿宋_GB2312" w:cs="仿宋_GB2312" w:hint="eastAsia"/>
          <w:sz w:val="32"/>
          <w:szCs w:val="32"/>
        </w:rPr>
        <w:t>补安防坠</w:t>
      </w:r>
      <w:proofErr w:type="gramEnd"/>
      <w:r>
        <w:rPr>
          <w:rFonts w:ascii="仿宋_GB2312" w:eastAsia="仿宋_GB2312" w:hAnsi="仿宋_GB2312" w:cs="仿宋_GB2312" w:hint="eastAsia"/>
          <w:sz w:val="32"/>
          <w:szCs w:val="32"/>
        </w:rPr>
        <w:t>网700余张，新划定积水警戒线5条，核定21处易涝点并落实“一点一策”方案。组织防汛排涝分队演练</w:t>
      </w:r>
      <w:r>
        <w:rPr>
          <w:rFonts w:ascii="仿宋_GB2312" w:eastAsia="仿宋_GB2312" w:hAnsi="仿宋_GB2312" w:cs="仿宋_GB2312" w:hint="eastAsia"/>
          <w:sz w:val="32"/>
          <w:szCs w:val="32"/>
        </w:rPr>
        <w:lastRenderedPageBreak/>
        <w:t>15次，“双盲”综合演练1次，防汛大比武1次，成功应对今年2次橙色、15次蓝色以上暴雨预警天气，保障了城市平安度汛，受到市委主要领导充分肯定。</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（七）污染防治攻坚扎实有效。</w:t>
      </w:r>
      <w:r>
        <w:rPr>
          <w:rFonts w:ascii="仿宋_GB2312" w:eastAsia="仿宋_GB2312" w:hAnsi="仿宋_GB2312" w:cs="仿宋_GB2312" w:hint="eastAsia"/>
          <w:sz w:val="32"/>
          <w:szCs w:val="32"/>
        </w:rPr>
        <w:t>深入</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习近平生态文明思想，以新时代美丽德阳建设为统领，扭住大气污染防治这个重中之重，大力开展城管领域环保执法专项行动，联合</w:t>
      </w:r>
      <w:r>
        <w:rPr>
          <w:rFonts w:ascii="仿宋_GB2312" w:eastAsia="仿宋_GB2312" w:hAnsi="仿宋_GB2312" w:cs="仿宋_GB2312" w:hint="eastAsia"/>
          <w:sz w:val="32"/>
          <w:szCs w:val="32"/>
          <w:lang w:val="zh-TW" w:eastAsia="zh-TW"/>
        </w:rPr>
        <w:t>检查</w:t>
      </w:r>
      <w:r>
        <w:rPr>
          <w:rFonts w:ascii="仿宋_GB2312" w:eastAsia="仿宋_GB2312" w:hAnsi="仿宋_GB2312" w:cs="仿宋_GB2312" w:hint="eastAsia"/>
          <w:sz w:val="32"/>
          <w:szCs w:val="32"/>
        </w:rPr>
        <w:t>工地850</w:t>
      </w:r>
      <w:r>
        <w:rPr>
          <w:rFonts w:ascii="仿宋_GB2312" w:eastAsia="仿宋_GB2312" w:hAnsi="仿宋_GB2312" w:cs="仿宋_GB2312" w:hint="eastAsia"/>
          <w:sz w:val="32"/>
          <w:szCs w:val="32"/>
          <w:lang w:val="zh-TW"/>
        </w:rPr>
        <w:t>余个（次）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TW" w:eastAsia="zh-TW"/>
        </w:rPr>
        <w:t>运输车辆</w:t>
      </w:r>
      <w:r>
        <w:rPr>
          <w:rFonts w:ascii="仿宋_GB2312" w:eastAsia="仿宋_GB2312" w:hAnsi="仿宋_GB2312" w:cs="仿宋_GB2312" w:hint="eastAsia"/>
          <w:sz w:val="32"/>
          <w:szCs w:val="32"/>
        </w:rPr>
        <w:t>2600余</w:t>
      </w:r>
      <w:r>
        <w:rPr>
          <w:rFonts w:ascii="仿宋_GB2312" w:eastAsia="仿宋_GB2312" w:hAnsi="仿宋_GB2312" w:cs="仿宋_GB2312" w:hint="eastAsia"/>
          <w:sz w:val="32"/>
          <w:szCs w:val="32"/>
          <w:lang w:val="zh-TW" w:eastAsia="zh-TW"/>
        </w:rPr>
        <w:t>台</w:t>
      </w:r>
      <w:r>
        <w:rPr>
          <w:rFonts w:ascii="仿宋_GB2312" w:eastAsia="仿宋_GB2312" w:hAnsi="仿宋_GB2312" w:cs="仿宋_GB2312" w:hint="eastAsia"/>
          <w:sz w:val="32"/>
          <w:szCs w:val="32"/>
          <w:lang w:val="zh-TW"/>
        </w:rPr>
        <w:t>（</w:t>
      </w:r>
      <w:r>
        <w:rPr>
          <w:rFonts w:ascii="仿宋_GB2312" w:eastAsia="仿宋_GB2312" w:hAnsi="仿宋_GB2312" w:cs="仿宋_GB2312" w:hint="eastAsia"/>
          <w:sz w:val="32"/>
          <w:szCs w:val="32"/>
          <w:lang w:val="zh-TW" w:eastAsia="zh-TW"/>
        </w:rPr>
        <w:t>次</w:t>
      </w:r>
      <w:r>
        <w:rPr>
          <w:rFonts w:ascii="仿宋_GB2312" w:eastAsia="仿宋_GB2312" w:hAnsi="仿宋_GB2312" w:cs="仿宋_GB2312" w:hint="eastAsia"/>
          <w:sz w:val="32"/>
          <w:szCs w:val="32"/>
          <w:lang w:val="zh-TW"/>
        </w:rPr>
        <w:t>），</w:t>
      </w:r>
      <w:r>
        <w:rPr>
          <w:rFonts w:ascii="仿宋_GB2312" w:eastAsia="仿宋_GB2312" w:hAnsi="仿宋_GB2312" w:cs="仿宋_GB2312" w:hint="eastAsia"/>
          <w:sz w:val="32"/>
          <w:szCs w:val="32"/>
        </w:rPr>
        <w:t>立案查处工地扬尘违法案件22起、道路扬尘36件、餐饮油烟4起，向社会传递从严治污鲜明信号，形成铁腕执法高压态势。以对脚下土地负责、对历史负责、对子孙后代负责的态度，扎实做好迎接第二轮中央生态环境保护督察各项工作，进驻期间加班加点、任劳任怨，按时保质办结45件群众举报，相关做法得到省、市迎督办充分肯定。</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（八）重大节庆氛围营造有力。</w:t>
      </w:r>
      <w:r>
        <w:rPr>
          <w:rFonts w:ascii="仿宋_GB2312" w:eastAsia="仿宋_GB2312" w:hAnsi="仿宋_GB2312" w:cs="仿宋_GB2312" w:hint="eastAsia"/>
          <w:sz w:val="32"/>
          <w:szCs w:val="32"/>
        </w:rPr>
        <w:t>突出文庙广场、站前广场、高速出口等城市窗口，打造“筑梦扬帆”、“三星堆面具”等景观地标10余个，布置鲜花30万余盆，隆重节俭、彰显特色地做好了庆祝建党100周年、国庆和市第九次党代会等重大活动的城市氛围营造工作。</w:t>
      </w:r>
    </w:p>
    <w:p w:rsidR="00C64E6E" w:rsidRDefault="00C64E6E" w:rsidP="00C64E6E">
      <w:pPr>
        <w:spacing w:line="580" w:lineRule="exact"/>
        <w:ind w:firstLineChars="200" w:firstLine="643"/>
        <w:rPr>
          <w:rFonts w:ascii="仿宋_GB2312" w:eastAsia="仿宋_GB2312" w:hAnsi="仿宋_GB2312" w:cs="仿宋_GB2312"/>
          <w:sz w:val="32"/>
          <w:szCs w:val="32"/>
        </w:rPr>
      </w:pPr>
      <w:r>
        <w:rPr>
          <w:rFonts w:ascii="楷体_GB2312" w:eastAsia="楷体_GB2312" w:hAnsi="楷体_GB2312" w:cs="楷体_GB2312" w:hint="eastAsia"/>
          <w:b/>
          <w:bCs/>
          <w:sz w:val="32"/>
          <w:szCs w:val="32"/>
        </w:rPr>
        <w:t>（九）全面从严治党纵深推进。</w:t>
      </w:r>
      <w:r>
        <w:rPr>
          <w:rFonts w:ascii="仿宋_GB2312" w:eastAsia="仿宋_GB2312" w:hAnsi="仿宋_GB2312" w:cs="仿宋_GB2312" w:hint="eastAsia"/>
          <w:sz w:val="32"/>
          <w:szCs w:val="32"/>
        </w:rPr>
        <w:t>认真落实新时代党的建设总要求，扎实开展党史学习教育，开办《城市管理讲坛》，狠抓意识形态和宣传思想工作，加快打造“清廉城管”，如期完成巡视巡察整改。鲜明“以干成之事评价干事之人”的用人导向，今年以来提拔使用正科级领导干部6名、副科级领导干部12名，完成21名公务员（参公）职级晋升、165</w:t>
      </w:r>
      <w:r>
        <w:rPr>
          <w:rFonts w:ascii="仿宋_GB2312" w:eastAsia="仿宋_GB2312" w:hAnsi="仿宋_GB2312" w:cs="仿宋_GB2312" w:hint="eastAsia"/>
          <w:sz w:val="32"/>
          <w:szCs w:val="32"/>
        </w:rPr>
        <w:lastRenderedPageBreak/>
        <w:t>名事业单位工作人员岗位等级晋升和10名科级领导交流任职，干部队伍干事创业激情空前高涨，党组织战斗堡垒作用和党员先锋模范作用充分发挥。今年先后获评德阳市抗击新冠肺炎疫情先进基层党组织、全市首批机关党建综合示范点单位，局机关第二党支部、环卫处党总支被评为2021年度“双强”党支部。</w:t>
      </w:r>
    </w:p>
    <w:p w:rsidR="00F53351" w:rsidRDefault="00C64E6E" w:rsidP="00C64E6E">
      <w:pPr>
        <w:spacing w:line="600" w:lineRule="exact"/>
        <w:ind w:firstLineChars="200" w:firstLine="640"/>
        <w:rPr>
          <w:rFonts w:ascii="Times New Roman" w:eastAsia="仿宋_GB2312" w:hAnsi="Times New Roman"/>
          <w:sz w:val="32"/>
          <w:szCs w:val="32"/>
        </w:rPr>
      </w:pPr>
      <w:r>
        <w:rPr>
          <w:rFonts w:ascii="仿宋_GB2312" w:eastAsia="仿宋_GB2312" w:hAnsi="仿宋_GB2312" w:cs="仿宋_GB2312" w:hint="eastAsia"/>
          <w:sz w:val="32"/>
          <w:szCs w:val="32"/>
        </w:rPr>
        <w:t>工作虽取得积极成效，但是对标市委要求和群众期盼，还有不小差距，“大城管”工作格局还需健全，垃圾分类商业化逻辑、产业化发展尚不成熟，破解环卫基础设施建设“邻避效</w:t>
      </w:r>
      <w:r>
        <w:rPr>
          <w:rFonts w:ascii="仿宋_GB2312" w:eastAsia="仿宋_GB2312" w:hAnsi="仿宋_GB2312" w:cs="仿宋_GB2312" w:hint="eastAsia"/>
          <w:spacing w:val="-6"/>
          <w:sz w:val="32"/>
          <w:szCs w:val="32"/>
        </w:rPr>
        <w:t>应”的机制还不系统和完善，需要在下一步工作中认真研究解决</w:t>
      </w:r>
      <w:r w:rsidR="00F53351">
        <w:rPr>
          <w:rFonts w:ascii="Times New Roman" w:eastAsia="仿宋_GB2312" w:hAnsi="Times New Roman"/>
          <w:sz w:val="32"/>
          <w:szCs w:val="32"/>
        </w:rPr>
        <w:t>。</w:t>
      </w:r>
    </w:p>
    <w:p w:rsidR="006A591A" w:rsidRDefault="00C64814" w:rsidP="006A591A">
      <w:pPr>
        <w:pStyle w:val="20"/>
        <w:rPr>
          <w:rStyle w:val="2Char"/>
          <w:rFonts w:ascii="黑体" w:eastAsia="黑体" w:hAnsi="黑体"/>
        </w:rPr>
      </w:pPr>
      <w:bookmarkStart w:id="11" w:name="_Toc15396601"/>
      <w:bookmarkStart w:id="12" w:name="_Toc15377200"/>
      <w:r>
        <w:rPr>
          <w:rFonts w:ascii="黑体" w:eastAsia="黑体" w:hint="eastAsia"/>
          <w:b w:val="0"/>
          <w:color w:val="000000"/>
        </w:rPr>
        <w:t>二、</w:t>
      </w:r>
      <w:r>
        <w:rPr>
          <w:rFonts w:ascii="黑体" w:eastAsia="黑体" w:hAnsi="黑体" w:hint="eastAsia"/>
          <w:b w:val="0"/>
          <w:color w:val="000000"/>
        </w:rPr>
        <w:t>机</w:t>
      </w:r>
      <w:r>
        <w:rPr>
          <w:rStyle w:val="2Char"/>
          <w:rFonts w:ascii="黑体" w:eastAsia="黑体" w:hAnsi="黑体" w:hint="eastAsia"/>
        </w:rPr>
        <w:t>构设置</w:t>
      </w:r>
      <w:bookmarkEnd w:id="10"/>
      <w:bookmarkEnd w:id="11"/>
      <w:bookmarkEnd w:id="12"/>
    </w:p>
    <w:p w:rsidR="00D81402" w:rsidRPr="00FE2C7A" w:rsidRDefault="006A591A" w:rsidP="006A591A">
      <w:pPr>
        <w:pStyle w:val="20"/>
        <w:ind w:firstLineChars="200" w:firstLine="640"/>
        <w:rPr>
          <w:rFonts w:ascii="仿宋_GB2312" w:eastAsia="仿宋_GB2312" w:hAnsi="仿宋" w:cs="Times New Roman"/>
          <w:b w:val="0"/>
        </w:rPr>
      </w:pPr>
      <w:r w:rsidRPr="00FE2C7A">
        <w:rPr>
          <w:rFonts w:ascii="仿宋_GB2312" w:eastAsia="仿宋_GB2312" w:hAnsi="仿宋" w:cs="Times New Roman" w:hint="eastAsia"/>
          <w:b w:val="0"/>
        </w:rPr>
        <w:t>下属二级单位</w:t>
      </w:r>
      <w:r w:rsidR="00FE2C7A" w:rsidRPr="00FE2C7A">
        <w:rPr>
          <w:rFonts w:ascii="仿宋_GB2312" w:eastAsia="仿宋_GB2312" w:hAnsi="仿宋" w:cs="Times New Roman" w:hint="eastAsia"/>
          <w:b w:val="0"/>
        </w:rPr>
        <w:t>4</w:t>
      </w:r>
      <w:r w:rsidRPr="00FE2C7A">
        <w:rPr>
          <w:rFonts w:ascii="仿宋_GB2312" w:eastAsia="仿宋_GB2312" w:hAnsi="仿宋" w:cs="Times New Roman" w:hint="eastAsia"/>
          <w:b w:val="0"/>
        </w:rPr>
        <w:t>个，其中行政单位</w:t>
      </w:r>
      <w:r w:rsidR="00FE2C7A" w:rsidRPr="00FE2C7A">
        <w:rPr>
          <w:rFonts w:ascii="仿宋_GB2312" w:eastAsia="仿宋_GB2312" w:hAnsi="仿宋" w:cs="Times New Roman" w:hint="eastAsia"/>
          <w:b w:val="0"/>
        </w:rPr>
        <w:t>1</w:t>
      </w:r>
      <w:r w:rsidRPr="00FE2C7A">
        <w:rPr>
          <w:rFonts w:ascii="仿宋_GB2312" w:eastAsia="仿宋_GB2312" w:hAnsi="仿宋" w:cs="Times New Roman" w:hint="eastAsia"/>
          <w:b w:val="0"/>
        </w:rPr>
        <w:t>个，参照公务员法管理的事业单位</w:t>
      </w:r>
      <w:r w:rsidR="00142D37" w:rsidRPr="00FE2C7A">
        <w:rPr>
          <w:rFonts w:ascii="仿宋_GB2312" w:eastAsia="仿宋_GB2312" w:hAnsi="仿宋" w:cs="Times New Roman" w:hint="eastAsia"/>
          <w:b w:val="0"/>
          <w:bCs w:val="0"/>
        </w:rPr>
        <w:t>1</w:t>
      </w:r>
      <w:r w:rsidRPr="00FE2C7A">
        <w:rPr>
          <w:rFonts w:ascii="仿宋_GB2312" w:eastAsia="仿宋_GB2312" w:hAnsi="仿宋" w:cs="Times New Roman" w:hint="eastAsia"/>
          <w:b w:val="0"/>
        </w:rPr>
        <w:t>个，其他事业单位</w:t>
      </w:r>
      <w:r w:rsidR="00142D37" w:rsidRPr="00FE2C7A">
        <w:rPr>
          <w:rFonts w:ascii="仿宋_GB2312" w:eastAsia="仿宋_GB2312" w:hAnsi="仿宋" w:cs="Times New Roman" w:hint="eastAsia"/>
          <w:b w:val="0"/>
        </w:rPr>
        <w:t>2</w:t>
      </w:r>
      <w:r w:rsidRPr="00FE2C7A">
        <w:rPr>
          <w:rFonts w:ascii="仿宋_GB2312" w:eastAsia="仿宋_GB2312" w:hAnsi="仿宋" w:cs="Times New Roman" w:hint="eastAsia"/>
          <w:b w:val="0"/>
        </w:rPr>
        <w:t>个。</w:t>
      </w:r>
    </w:p>
    <w:p w:rsidR="00FE2C7A" w:rsidRPr="00FE2C7A" w:rsidRDefault="00FE2C7A" w:rsidP="00FE2C7A">
      <w:pPr>
        <w:rPr>
          <w:rFonts w:ascii="仿宋_GB2312" w:eastAsia="仿宋_GB2312" w:hAnsi="仿宋"/>
          <w:bCs/>
          <w:sz w:val="32"/>
          <w:szCs w:val="32"/>
        </w:rPr>
      </w:pPr>
      <w:r w:rsidRPr="00FE2C7A">
        <w:rPr>
          <w:rFonts w:ascii="仿宋_GB2312" w:eastAsia="仿宋_GB2312" w:hint="eastAsia"/>
        </w:rPr>
        <w:t xml:space="preserve">    </w:t>
      </w:r>
      <w:r w:rsidRPr="00FE2C7A">
        <w:rPr>
          <w:rFonts w:ascii="仿宋_GB2312" w:eastAsia="仿宋_GB2312" w:hAnsi="仿宋" w:hint="eastAsia"/>
          <w:bCs/>
          <w:sz w:val="32"/>
          <w:szCs w:val="32"/>
        </w:rPr>
        <w:t xml:space="preserve">   纳入2020年部门决算</w:t>
      </w:r>
      <w:r>
        <w:rPr>
          <w:rFonts w:ascii="仿宋_GB2312" w:eastAsia="仿宋_GB2312" w:hAnsi="仿宋" w:hint="eastAsia"/>
          <w:bCs/>
          <w:sz w:val="32"/>
          <w:szCs w:val="32"/>
        </w:rPr>
        <w:t>（本级）</w:t>
      </w:r>
      <w:r w:rsidRPr="00FE2C7A">
        <w:rPr>
          <w:rFonts w:ascii="仿宋_GB2312" w:eastAsia="仿宋_GB2312" w:hAnsi="仿宋" w:hint="eastAsia"/>
          <w:bCs/>
          <w:sz w:val="32"/>
          <w:szCs w:val="32"/>
        </w:rPr>
        <w:t>编制的二级单位：</w:t>
      </w:r>
    </w:p>
    <w:p w:rsidR="00FE2C7A" w:rsidRDefault="00FE2C7A" w:rsidP="00FE2C7A">
      <w:pPr>
        <w:pStyle w:val="2"/>
        <w:numPr>
          <w:ilvl w:val="0"/>
          <w:numId w:val="11"/>
        </w:numPr>
        <w:ind w:leftChars="0"/>
      </w:pPr>
      <w:r>
        <w:rPr>
          <w:rFonts w:hint="eastAsia"/>
        </w:rPr>
        <w:t>德阳市城市管理行政执法局机关</w:t>
      </w:r>
    </w:p>
    <w:p w:rsidR="00FE2C7A" w:rsidRDefault="00FE2C7A" w:rsidP="00FE2C7A">
      <w:pPr>
        <w:pStyle w:val="2"/>
        <w:numPr>
          <w:ilvl w:val="0"/>
          <w:numId w:val="11"/>
        </w:numPr>
        <w:ind w:leftChars="0"/>
        <w:rPr>
          <w:rFonts w:hAnsi="仿宋"/>
          <w:spacing w:val="15"/>
          <w:shd w:val="clear" w:color="auto" w:fill="FFFFFF"/>
        </w:rPr>
      </w:pPr>
      <w:r>
        <w:rPr>
          <w:rFonts w:hint="eastAsia"/>
        </w:rPr>
        <w:t>德阳市</w:t>
      </w:r>
      <w:r w:rsidRPr="000B0BF1">
        <w:rPr>
          <w:rFonts w:hAnsi="仿宋" w:hint="eastAsia"/>
          <w:spacing w:val="15"/>
          <w:shd w:val="clear" w:color="auto" w:fill="FFFFFF"/>
        </w:rPr>
        <w:t>建设监察支队</w:t>
      </w:r>
    </w:p>
    <w:p w:rsidR="00FE2C7A" w:rsidRPr="00FE2C7A" w:rsidRDefault="00FE2C7A" w:rsidP="00FE2C7A">
      <w:pPr>
        <w:pStyle w:val="2"/>
        <w:numPr>
          <w:ilvl w:val="0"/>
          <w:numId w:val="11"/>
        </w:numPr>
        <w:ind w:leftChars="0"/>
      </w:pPr>
      <w:r>
        <w:rPr>
          <w:rFonts w:hAnsi="仿宋" w:hint="eastAsia"/>
          <w:spacing w:val="15"/>
          <w:shd w:val="clear" w:color="auto" w:fill="FFFFFF"/>
        </w:rPr>
        <w:t>德阳</w:t>
      </w:r>
      <w:r w:rsidRPr="000B0BF1">
        <w:rPr>
          <w:rFonts w:hAnsi="仿宋" w:hint="eastAsia"/>
          <w:spacing w:val="15"/>
          <w:shd w:val="clear" w:color="auto" w:fill="FFFFFF"/>
        </w:rPr>
        <w:t>市城市管理行政执法支队</w:t>
      </w:r>
    </w:p>
    <w:p w:rsidR="00FE2C7A" w:rsidRPr="00FE2C7A" w:rsidRDefault="00FE2C7A" w:rsidP="00FE2C7A">
      <w:pPr>
        <w:pStyle w:val="2"/>
        <w:numPr>
          <w:ilvl w:val="0"/>
          <w:numId w:val="11"/>
        </w:numPr>
        <w:ind w:leftChars="0"/>
      </w:pPr>
      <w:r>
        <w:rPr>
          <w:rFonts w:hAnsi="仿宋" w:hint="eastAsia"/>
          <w:spacing w:val="15"/>
          <w:shd w:val="clear" w:color="auto" w:fill="FFFFFF"/>
        </w:rPr>
        <w:t>德阳</w:t>
      </w:r>
      <w:r w:rsidRPr="000B0BF1">
        <w:rPr>
          <w:rFonts w:hAnsi="仿宋" w:hint="eastAsia"/>
          <w:spacing w:val="15"/>
          <w:shd w:val="clear" w:color="auto" w:fill="FFFFFF"/>
        </w:rPr>
        <w:t>城市综合管理指挥</w:t>
      </w:r>
      <w:r>
        <w:rPr>
          <w:rFonts w:hAnsi="仿宋" w:hint="eastAsia"/>
          <w:spacing w:val="15"/>
          <w:shd w:val="clear" w:color="auto" w:fill="FFFFFF"/>
        </w:rPr>
        <w:t>中心</w:t>
      </w:r>
    </w:p>
    <w:p w:rsidR="00D81402" w:rsidRDefault="00D81402" w:rsidP="00D81402">
      <w:pPr>
        <w:pStyle w:val="1"/>
        <w:ind w:right="440"/>
        <w:jc w:val="right"/>
        <w:rPr>
          <w:rStyle w:val="1Char"/>
          <w:rFonts w:ascii="黑体" w:eastAsia="黑体" w:hAnsi="黑体"/>
        </w:rPr>
      </w:pPr>
      <w:bookmarkStart w:id="13" w:name="OLE_LINK5"/>
      <w:r>
        <w:rPr>
          <w:rFonts w:ascii="黑体" w:eastAsia="黑体" w:hAnsi="黑体" w:cs="黑体" w:hint="eastAsia"/>
          <w:b w:val="0"/>
          <w:bCs w:val="0"/>
          <w:color w:val="000000"/>
        </w:rPr>
        <w:lastRenderedPageBreak/>
        <w:t>第二部分</w:t>
      </w:r>
      <w:r>
        <w:rPr>
          <w:rStyle w:val="1Char"/>
          <w:rFonts w:ascii="黑体" w:eastAsia="黑体" w:hAnsi="黑体" w:cs="黑体"/>
        </w:rPr>
        <w:t>20</w:t>
      </w:r>
      <w:r w:rsidR="00BD05FD">
        <w:rPr>
          <w:rStyle w:val="1Char"/>
          <w:rFonts w:ascii="黑体" w:eastAsia="黑体" w:hAnsi="黑体" w:cs="黑体" w:hint="eastAsia"/>
        </w:rPr>
        <w:t>21年</w:t>
      </w:r>
      <w:r>
        <w:rPr>
          <w:rStyle w:val="1Char"/>
          <w:rFonts w:ascii="黑体" w:eastAsia="黑体" w:hAnsi="黑体" w:cs="黑体" w:hint="eastAsia"/>
        </w:rPr>
        <w:t>度部门决算情况说明</w:t>
      </w:r>
    </w:p>
    <w:p w:rsidR="00D81402" w:rsidRDefault="00D81402" w:rsidP="00D81402">
      <w:pPr>
        <w:pStyle w:val="a6"/>
        <w:numPr>
          <w:ilvl w:val="0"/>
          <w:numId w:val="1"/>
        </w:numPr>
        <w:spacing w:line="600" w:lineRule="exact"/>
        <w:ind w:firstLineChars="0"/>
        <w:outlineLvl w:val="1"/>
        <w:rPr>
          <w:rStyle w:val="2Char"/>
          <w:rFonts w:ascii="黑体" w:eastAsia="黑体" w:hAnsi="黑体"/>
          <w:b w:val="0"/>
          <w:bCs w:val="0"/>
        </w:rPr>
      </w:pPr>
      <w:bookmarkStart w:id="14" w:name="_Toc15396603"/>
      <w:bookmarkStart w:id="15" w:name="_Toc15377205"/>
      <w:r>
        <w:rPr>
          <w:rFonts w:ascii="黑体" w:eastAsia="黑体" w:hAnsi="黑体" w:cs="黑体" w:hint="eastAsia"/>
          <w:color w:val="000000"/>
          <w:sz w:val="32"/>
          <w:szCs w:val="32"/>
        </w:rPr>
        <w:t>收</w:t>
      </w:r>
      <w:r>
        <w:rPr>
          <w:rStyle w:val="2Char"/>
          <w:rFonts w:ascii="黑体" w:eastAsia="黑体" w:hAnsi="黑体" w:cs="黑体" w:hint="eastAsia"/>
          <w:b w:val="0"/>
          <w:bCs w:val="0"/>
        </w:rPr>
        <w:t>入支出决算总体情况说明</w:t>
      </w:r>
      <w:bookmarkEnd w:id="14"/>
      <w:bookmarkEnd w:id="15"/>
    </w:p>
    <w:p w:rsidR="00D81402" w:rsidRPr="006A591A" w:rsidRDefault="009E4B8A" w:rsidP="006A591A">
      <w:pPr>
        <w:spacing w:line="60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本</w:t>
      </w:r>
      <w:r w:rsidR="00D81402" w:rsidRPr="003561BD">
        <w:rPr>
          <w:rFonts w:ascii="仿宋_GB2312" w:eastAsia="仿宋_GB2312" w:cs="仿宋_GB2312" w:hint="eastAsia"/>
          <w:sz w:val="32"/>
          <w:szCs w:val="32"/>
        </w:rPr>
        <w:t>年度</w:t>
      </w:r>
      <w:r w:rsidR="006A591A">
        <w:rPr>
          <w:rFonts w:ascii="仿宋_GB2312" w:eastAsia="仿宋_GB2312" w:cs="仿宋_GB2312" w:hint="eastAsia"/>
          <w:sz w:val="32"/>
          <w:szCs w:val="32"/>
        </w:rPr>
        <w:t>预算</w:t>
      </w:r>
      <w:r w:rsidR="005446A6" w:rsidRPr="003561BD">
        <w:rPr>
          <w:rFonts w:ascii="仿宋_GB2312" w:eastAsia="仿宋_GB2312" w:cs="仿宋_GB2312" w:hint="eastAsia"/>
          <w:sz w:val="32"/>
          <w:szCs w:val="32"/>
        </w:rPr>
        <w:t>收入</w:t>
      </w:r>
      <w:r w:rsidR="00BD05FD">
        <w:rPr>
          <w:rFonts w:ascii="仿宋_GB2312" w:eastAsia="仿宋_GB2312" w:cs="仿宋_GB2312" w:hint="eastAsia"/>
          <w:sz w:val="32"/>
          <w:szCs w:val="32"/>
        </w:rPr>
        <w:t>8726.38</w:t>
      </w:r>
      <w:r w:rsidR="005446A6" w:rsidRPr="003561BD">
        <w:rPr>
          <w:rFonts w:ascii="仿宋_GB2312" w:eastAsia="仿宋_GB2312" w:cs="仿宋_GB2312" w:hint="eastAsia"/>
          <w:sz w:val="32"/>
          <w:szCs w:val="32"/>
        </w:rPr>
        <w:t>万元</w:t>
      </w:r>
      <w:r w:rsidR="005446A6" w:rsidRPr="003561BD">
        <w:rPr>
          <w:rFonts w:ascii="仿宋_GB2312" w:eastAsia="仿宋_GB2312" w:cs="仿宋_GB2312"/>
          <w:sz w:val="32"/>
          <w:szCs w:val="32"/>
        </w:rPr>
        <w:t>,</w:t>
      </w:r>
      <w:r w:rsidR="006A591A">
        <w:rPr>
          <w:rFonts w:ascii="仿宋_GB2312" w:eastAsia="仿宋_GB2312" w:cs="仿宋_GB2312" w:hint="eastAsia"/>
          <w:sz w:val="32"/>
          <w:szCs w:val="32"/>
        </w:rPr>
        <w:t>年初结转和结余</w:t>
      </w:r>
      <w:r w:rsidR="00BD05FD">
        <w:rPr>
          <w:rFonts w:ascii="仿宋_GB2312" w:eastAsia="仿宋_GB2312" w:cs="仿宋_GB2312" w:hint="eastAsia"/>
          <w:sz w:val="32"/>
          <w:szCs w:val="32"/>
        </w:rPr>
        <w:t>72.79</w:t>
      </w:r>
      <w:r w:rsidR="006A591A">
        <w:rPr>
          <w:rFonts w:ascii="仿宋_GB2312" w:eastAsia="仿宋_GB2312" w:cs="仿宋_GB2312" w:hint="eastAsia"/>
          <w:sz w:val="32"/>
          <w:szCs w:val="32"/>
        </w:rPr>
        <w:t>万元，</w:t>
      </w:r>
      <w:r>
        <w:rPr>
          <w:rFonts w:ascii="仿宋_GB2312" w:eastAsia="仿宋_GB2312" w:cs="仿宋_GB2312" w:hint="eastAsia"/>
          <w:sz w:val="32"/>
          <w:szCs w:val="32"/>
        </w:rPr>
        <w:t>本年度预算</w:t>
      </w:r>
      <w:r w:rsidR="005446A6" w:rsidRPr="003561BD">
        <w:rPr>
          <w:rFonts w:ascii="仿宋_GB2312" w:eastAsia="仿宋_GB2312" w:cs="仿宋_GB2312" w:hint="eastAsia"/>
          <w:sz w:val="32"/>
          <w:szCs w:val="32"/>
        </w:rPr>
        <w:t>支出</w:t>
      </w:r>
      <w:r w:rsidR="00BD05FD">
        <w:rPr>
          <w:rFonts w:ascii="仿宋_GB2312" w:eastAsia="仿宋_GB2312" w:cs="仿宋_GB2312" w:hint="eastAsia"/>
          <w:sz w:val="32"/>
          <w:szCs w:val="32"/>
        </w:rPr>
        <w:t>8799.17</w:t>
      </w:r>
      <w:r w:rsidR="005446A6" w:rsidRPr="003561BD">
        <w:rPr>
          <w:rFonts w:ascii="仿宋_GB2312" w:eastAsia="仿宋_GB2312" w:cs="仿宋_GB2312" w:hint="eastAsia"/>
          <w:sz w:val="32"/>
          <w:szCs w:val="32"/>
        </w:rPr>
        <w:t>万元</w:t>
      </w:r>
      <w:r w:rsidR="00112335">
        <w:rPr>
          <w:rFonts w:ascii="仿宋_GB2312" w:eastAsia="仿宋_GB2312" w:cs="仿宋_GB2312" w:hint="eastAsia"/>
          <w:sz w:val="32"/>
          <w:szCs w:val="32"/>
        </w:rPr>
        <w:t>，年末</w:t>
      </w:r>
      <w:r>
        <w:rPr>
          <w:rFonts w:ascii="仿宋_GB2312" w:eastAsia="仿宋_GB2312" w:cs="仿宋_GB2312" w:hint="eastAsia"/>
          <w:sz w:val="32"/>
          <w:szCs w:val="32"/>
        </w:rPr>
        <w:t>结转和结余</w:t>
      </w:r>
      <w:r w:rsidR="00BD05FD">
        <w:rPr>
          <w:rFonts w:ascii="仿宋_GB2312" w:eastAsia="仿宋_GB2312" w:cs="仿宋_GB2312" w:hint="eastAsia"/>
          <w:sz w:val="32"/>
          <w:szCs w:val="32"/>
        </w:rPr>
        <w:t>0</w:t>
      </w:r>
      <w:r>
        <w:rPr>
          <w:rFonts w:ascii="仿宋_GB2312" w:eastAsia="仿宋_GB2312" w:cs="仿宋_GB2312" w:hint="eastAsia"/>
          <w:sz w:val="32"/>
          <w:szCs w:val="32"/>
        </w:rPr>
        <w:t>万元</w:t>
      </w:r>
      <w:r w:rsidR="005446A6">
        <w:rPr>
          <w:rFonts w:ascii="仿宋_GB2312" w:eastAsia="仿宋_GB2312" w:cs="仿宋_GB2312" w:hint="eastAsia"/>
          <w:sz w:val="32"/>
          <w:szCs w:val="32"/>
        </w:rPr>
        <w:t>。</w:t>
      </w:r>
      <w:r w:rsidR="00D81402" w:rsidRPr="003561BD">
        <w:rPr>
          <w:rFonts w:ascii="仿宋_GB2312" w:eastAsia="仿宋_GB2312" w:cs="仿宋_GB2312" w:hint="eastAsia"/>
          <w:sz w:val="32"/>
          <w:szCs w:val="32"/>
        </w:rPr>
        <w:t>与</w:t>
      </w:r>
      <w:r w:rsidR="00BD05FD">
        <w:rPr>
          <w:rFonts w:ascii="仿宋_GB2312" w:eastAsia="仿宋_GB2312" w:cs="仿宋_GB2312"/>
          <w:sz w:val="32"/>
          <w:szCs w:val="32"/>
        </w:rPr>
        <w:t>20</w:t>
      </w:r>
      <w:r w:rsidR="00BD05FD">
        <w:rPr>
          <w:rFonts w:ascii="仿宋_GB2312" w:eastAsia="仿宋_GB2312" w:cs="仿宋_GB2312" w:hint="eastAsia"/>
          <w:sz w:val="32"/>
          <w:szCs w:val="32"/>
        </w:rPr>
        <w:t>20</w:t>
      </w:r>
      <w:r w:rsidR="00D81402" w:rsidRPr="003561BD">
        <w:rPr>
          <w:rFonts w:ascii="仿宋_GB2312" w:eastAsia="仿宋_GB2312" w:cs="仿宋_GB2312" w:hint="eastAsia"/>
          <w:sz w:val="32"/>
          <w:szCs w:val="32"/>
        </w:rPr>
        <w:t>年相比，收入</w:t>
      </w:r>
      <w:r w:rsidR="0041786E">
        <w:rPr>
          <w:rFonts w:ascii="仿宋_GB2312" w:eastAsia="仿宋_GB2312" w:cs="仿宋_GB2312" w:hint="eastAsia"/>
          <w:sz w:val="32"/>
          <w:szCs w:val="32"/>
        </w:rPr>
        <w:t>增加</w:t>
      </w:r>
      <w:r w:rsidR="00D57EC6">
        <w:rPr>
          <w:rFonts w:ascii="仿宋_GB2312" w:eastAsia="仿宋_GB2312" w:cs="仿宋_GB2312" w:hint="eastAsia"/>
          <w:sz w:val="32"/>
          <w:szCs w:val="32"/>
        </w:rPr>
        <w:t>1580.52</w:t>
      </w:r>
      <w:r w:rsidR="0041786E">
        <w:rPr>
          <w:rFonts w:ascii="仿宋_GB2312" w:eastAsia="仿宋_GB2312" w:cs="仿宋_GB2312" w:hint="eastAsia"/>
          <w:sz w:val="32"/>
          <w:szCs w:val="32"/>
        </w:rPr>
        <w:t>万</w:t>
      </w:r>
      <w:r w:rsidR="00D81402" w:rsidRPr="003561BD">
        <w:rPr>
          <w:rFonts w:ascii="仿宋_GB2312" w:eastAsia="仿宋_GB2312" w:cs="仿宋_GB2312" w:hint="eastAsia"/>
          <w:sz w:val="32"/>
          <w:szCs w:val="32"/>
        </w:rPr>
        <w:t>元</w:t>
      </w:r>
      <w:r w:rsidR="00D81402" w:rsidRPr="003561BD">
        <w:rPr>
          <w:rFonts w:ascii="仿宋_GB2312" w:eastAsia="仿宋_GB2312" w:cs="仿宋_GB2312"/>
          <w:sz w:val="32"/>
          <w:szCs w:val="32"/>
        </w:rPr>
        <w:t>,</w:t>
      </w:r>
      <w:r w:rsidR="00E121DD">
        <w:rPr>
          <w:rFonts w:ascii="仿宋_GB2312" w:eastAsia="仿宋_GB2312" w:cs="仿宋_GB2312" w:hint="eastAsia"/>
          <w:sz w:val="32"/>
          <w:szCs w:val="32"/>
        </w:rPr>
        <w:t>增加</w:t>
      </w:r>
      <w:r w:rsidR="00D57EC6">
        <w:rPr>
          <w:rFonts w:ascii="仿宋_GB2312" w:eastAsia="仿宋_GB2312" w:cs="仿宋_GB2312" w:hint="eastAsia"/>
          <w:sz w:val="32"/>
          <w:szCs w:val="32"/>
        </w:rPr>
        <w:t>18.11</w:t>
      </w:r>
      <w:r w:rsidR="00ED18E1">
        <w:rPr>
          <w:rFonts w:ascii="仿宋_GB2312" w:eastAsia="仿宋_GB2312" w:cs="仿宋_GB2312" w:hint="eastAsia"/>
          <w:sz w:val="32"/>
          <w:szCs w:val="32"/>
        </w:rPr>
        <w:t>%</w:t>
      </w:r>
      <w:r w:rsidR="00A45AB1">
        <w:rPr>
          <w:rFonts w:ascii="仿宋_GB2312" w:eastAsia="仿宋_GB2312" w:cs="仿宋_GB2312" w:hint="eastAsia"/>
          <w:sz w:val="32"/>
          <w:szCs w:val="32"/>
        </w:rPr>
        <w:t>，</w:t>
      </w:r>
      <w:r w:rsidR="00A45AB1" w:rsidRPr="00112335">
        <w:rPr>
          <w:rFonts w:ascii="仿宋_GB2312" w:eastAsia="仿宋_GB2312" w:cs="仿宋_GB2312" w:hint="eastAsia"/>
          <w:sz w:val="32"/>
          <w:szCs w:val="32"/>
        </w:rPr>
        <w:t>主要原因是</w:t>
      </w:r>
      <w:r w:rsidR="00112335" w:rsidRPr="00112335">
        <w:rPr>
          <w:rFonts w:ascii="仿宋_GB2312" w:eastAsia="仿宋_GB2312" w:cs="仿宋_GB2312" w:hint="eastAsia"/>
          <w:sz w:val="32"/>
          <w:szCs w:val="32"/>
        </w:rPr>
        <w:t>人员</w:t>
      </w:r>
      <w:r w:rsidR="00086804">
        <w:rPr>
          <w:rFonts w:ascii="仿宋_GB2312" w:eastAsia="仿宋_GB2312" w:cs="仿宋_GB2312" w:hint="eastAsia"/>
          <w:sz w:val="32"/>
          <w:szCs w:val="32"/>
        </w:rPr>
        <w:t>、项目经费等增加</w:t>
      </w:r>
      <w:r w:rsidR="00ED18E1">
        <w:rPr>
          <w:rFonts w:ascii="仿宋_GB2312" w:eastAsia="仿宋_GB2312" w:cs="仿宋_GB2312" w:hint="eastAsia"/>
          <w:sz w:val="32"/>
          <w:szCs w:val="32"/>
        </w:rPr>
        <w:t>；</w:t>
      </w:r>
      <w:r w:rsidR="00397C66">
        <w:rPr>
          <w:rFonts w:ascii="仿宋_GB2312" w:eastAsia="仿宋_GB2312" w:cs="仿宋_GB2312" w:hint="eastAsia"/>
          <w:sz w:val="32"/>
          <w:szCs w:val="32"/>
        </w:rPr>
        <w:t>支出</w:t>
      </w:r>
      <w:r w:rsidR="0078031E">
        <w:rPr>
          <w:rFonts w:ascii="仿宋_GB2312" w:eastAsia="仿宋_GB2312" w:cs="仿宋_GB2312" w:hint="eastAsia"/>
          <w:sz w:val="32"/>
          <w:szCs w:val="32"/>
        </w:rPr>
        <w:t>增加</w:t>
      </w:r>
      <w:r w:rsidR="00D57EC6">
        <w:rPr>
          <w:rFonts w:ascii="仿宋_GB2312" w:eastAsia="仿宋_GB2312" w:cs="仿宋_GB2312" w:hint="eastAsia"/>
          <w:sz w:val="32"/>
          <w:szCs w:val="32"/>
        </w:rPr>
        <w:t>1692.82</w:t>
      </w:r>
      <w:r w:rsidR="00D81402" w:rsidRPr="003561BD">
        <w:rPr>
          <w:rFonts w:ascii="仿宋_GB2312" w:eastAsia="仿宋_GB2312" w:cs="仿宋_GB2312" w:hint="eastAsia"/>
          <w:sz w:val="32"/>
          <w:szCs w:val="32"/>
        </w:rPr>
        <w:t>万元</w:t>
      </w:r>
      <w:r w:rsidR="00ED18E1">
        <w:rPr>
          <w:rFonts w:ascii="仿宋_GB2312" w:eastAsia="仿宋_GB2312" w:cs="仿宋_GB2312" w:hint="eastAsia"/>
          <w:sz w:val="32"/>
          <w:szCs w:val="32"/>
        </w:rPr>
        <w:t>，</w:t>
      </w:r>
      <w:r w:rsidR="0078031E">
        <w:rPr>
          <w:rFonts w:ascii="仿宋_GB2312" w:eastAsia="仿宋_GB2312" w:cs="仿宋_GB2312" w:hint="eastAsia"/>
          <w:sz w:val="32"/>
          <w:szCs w:val="32"/>
        </w:rPr>
        <w:t>增加23.82</w:t>
      </w:r>
      <w:r w:rsidR="00ED18E1">
        <w:rPr>
          <w:rFonts w:ascii="仿宋_GB2312" w:eastAsia="仿宋_GB2312" w:cs="仿宋_GB2312" w:hint="eastAsia"/>
          <w:sz w:val="32"/>
          <w:szCs w:val="32"/>
        </w:rPr>
        <w:t>%</w:t>
      </w:r>
      <w:r w:rsidR="00086804">
        <w:rPr>
          <w:rFonts w:ascii="仿宋_GB2312" w:eastAsia="仿宋_GB2312" w:cs="仿宋_GB2312" w:hint="eastAsia"/>
          <w:sz w:val="32"/>
          <w:szCs w:val="32"/>
        </w:rPr>
        <w:t>，</w:t>
      </w:r>
      <w:r w:rsidR="00D81402" w:rsidRPr="003561BD">
        <w:rPr>
          <w:rFonts w:ascii="仿宋_GB2312" w:eastAsia="仿宋_GB2312" w:cs="仿宋_GB2312" w:hint="eastAsia"/>
          <w:sz w:val="32"/>
          <w:szCs w:val="32"/>
        </w:rPr>
        <w:t>主要变动原因是</w:t>
      </w:r>
      <w:r w:rsidR="00287298">
        <w:rPr>
          <w:rFonts w:ascii="仿宋_GB2312" w:eastAsia="仿宋_GB2312" w:cs="仿宋_GB2312" w:hint="eastAsia"/>
          <w:sz w:val="32"/>
          <w:szCs w:val="32"/>
        </w:rPr>
        <w:t>城乡社区</w:t>
      </w:r>
      <w:r w:rsidR="00112335">
        <w:rPr>
          <w:rFonts w:ascii="仿宋_GB2312" w:eastAsia="仿宋_GB2312" w:cs="仿宋_GB2312" w:hint="eastAsia"/>
          <w:sz w:val="32"/>
          <w:szCs w:val="32"/>
        </w:rPr>
        <w:t>等支出</w:t>
      </w:r>
      <w:r w:rsidR="0078031E">
        <w:rPr>
          <w:rFonts w:ascii="仿宋_GB2312" w:eastAsia="仿宋_GB2312" w:cs="仿宋_GB2312" w:hint="eastAsia"/>
          <w:sz w:val="32"/>
          <w:szCs w:val="32"/>
        </w:rPr>
        <w:t>增加</w:t>
      </w:r>
      <w:r w:rsidR="00D81402">
        <w:rPr>
          <w:rFonts w:ascii="仿宋" w:eastAsia="仿宋" w:hAnsi="仿宋" w:cs="仿宋" w:hint="eastAsia"/>
          <w:color w:val="000000"/>
          <w:sz w:val="32"/>
          <w:szCs w:val="32"/>
        </w:rPr>
        <w:t>。</w:t>
      </w:r>
    </w:p>
    <w:p w:rsidR="00D81402" w:rsidRDefault="00D81402" w:rsidP="00D81402">
      <w:pPr>
        <w:spacing w:line="600" w:lineRule="exact"/>
        <w:ind w:firstLineChars="200" w:firstLine="420"/>
        <w:rPr>
          <w:rFonts w:ascii="仿宋" w:eastAsia="仿宋" w:hAnsi="仿宋"/>
          <w:color w:val="000000"/>
        </w:rPr>
      </w:pPr>
      <w:r>
        <w:rPr>
          <w:rFonts w:ascii="仿宋" w:eastAsia="仿宋" w:hAnsi="仿宋" w:cs="仿宋" w:hint="eastAsia"/>
          <w:color w:val="000000"/>
        </w:rPr>
        <w:t>（图</w:t>
      </w:r>
      <w:r>
        <w:rPr>
          <w:rFonts w:ascii="仿宋" w:eastAsia="仿宋" w:hAnsi="仿宋" w:cs="仿宋"/>
          <w:color w:val="000000"/>
        </w:rPr>
        <w:t>1</w:t>
      </w:r>
      <w:r>
        <w:rPr>
          <w:rFonts w:ascii="仿宋" w:eastAsia="仿宋" w:hAnsi="仿宋" w:cs="仿宋" w:hint="eastAsia"/>
          <w:color w:val="000000"/>
        </w:rPr>
        <w:t>：收、支决算总计变动情况图）</w:t>
      </w:r>
    </w:p>
    <w:p w:rsidR="0000678E" w:rsidRPr="0000678E" w:rsidRDefault="00D81402" w:rsidP="0000678E">
      <w:pPr>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483145" cy="2657475"/>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Start w:id="16" w:name="_Toc15396604"/>
      <w:bookmarkStart w:id="17" w:name="_Toc15377206"/>
    </w:p>
    <w:p w:rsidR="001F07F7" w:rsidRPr="0000678E" w:rsidRDefault="0000678E" w:rsidP="0000678E">
      <w:pPr>
        <w:spacing w:line="600" w:lineRule="exact"/>
        <w:ind w:left="640"/>
        <w:outlineLvl w:val="1"/>
        <w:rPr>
          <w:rStyle w:val="2Char"/>
          <w:rFonts w:ascii="黑体" w:eastAsia="黑体" w:hAnsi="黑体"/>
          <w:b w:val="0"/>
          <w:bCs w:val="0"/>
        </w:rPr>
      </w:pPr>
      <w:r>
        <w:rPr>
          <w:rFonts w:ascii="黑体" w:eastAsia="黑体" w:hAnsi="黑体" w:cs="黑体" w:hint="eastAsia"/>
          <w:color w:val="000000"/>
          <w:sz w:val="32"/>
          <w:szCs w:val="32"/>
        </w:rPr>
        <w:t>二、</w:t>
      </w:r>
      <w:r w:rsidR="001F07F7" w:rsidRPr="0000678E">
        <w:rPr>
          <w:rFonts w:ascii="黑体" w:eastAsia="黑体" w:hAnsi="黑体" w:cs="黑体" w:hint="eastAsia"/>
          <w:color w:val="000000"/>
          <w:sz w:val="32"/>
          <w:szCs w:val="32"/>
        </w:rPr>
        <w:t>收</w:t>
      </w:r>
      <w:r w:rsidR="001F07F7" w:rsidRPr="0000678E">
        <w:rPr>
          <w:rStyle w:val="2Char"/>
          <w:rFonts w:ascii="黑体" w:eastAsia="黑体" w:hAnsi="黑体" w:cs="黑体" w:hint="eastAsia"/>
          <w:b w:val="0"/>
        </w:rPr>
        <w:t>入决算情况说明</w:t>
      </w:r>
      <w:bookmarkEnd w:id="16"/>
      <w:bookmarkEnd w:id="17"/>
    </w:p>
    <w:p w:rsidR="001F07F7" w:rsidRPr="005B15A9" w:rsidRDefault="001F07F7" w:rsidP="005B15A9">
      <w:pPr>
        <w:spacing w:line="600" w:lineRule="exact"/>
        <w:ind w:firstLineChars="200" w:firstLine="640"/>
        <w:outlineLvl w:val="1"/>
        <w:rPr>
          <w:rFonts w:ascii="仿宋_GB2312" w:eastAsia="仿宋_GB2312" w:cs="仿宋_GB2312"/>
          <w:sz w:val="32"/>
          <w:szCs w:val="32"/>
        </w:rPr>
      </w:pPr>
      <w:r w:rsidRPr="003561BD">
        <w:rPr>
          <w:rFonts w:ascii="仿宋_GB2312" w:eastAsia="仿宋_GB2312" w:cs="仿宋_GB2312"/>
          <w:sz w:val="32"/>
          <w:szCs w:val="32"/>
        </w:rPr>
        <w:t>20</w:t>
      </w:r>
      <w:r w:rsidR="00287298">
        <w:rPr>
          <w:rFonts w:ascii="仿宋_GB2312" w:eastAsia="仿宋_GB2312" w:cs="仿宋_GB2312" w:hint="eastAsia"/>
          <w:sz w:val="32"/>
          <w:szCs w:val="32"/>
        </w:rPr>
        <w:t>21</w:t>
      </w:r>
      <w:r w:rsidRPr="003561BD">
        <w:rPr>
          <w:rFonts w:ascii="仿宋_GB2312" w:eastAsia="仿宋_GB2312" w:cs="仿宋_GB2312" w:hint="eastAsia"/>
          <w:sz w:val="32"/>
          <w:szCs w:val="32"/>
        </w:rPr>
        <w:t>年本年收入合计</w:t>
      </w:r>
      <w:r w:rsidR="00287298">
        <w:rPr>
          <w:rFonts w:ascii="仿宋_GB2312" w:eastAsia="仿宋_GB2312" w:cs="仿宋_GB2312" w:hint="eastAsia"/>
          <w:sz w:val="32"/>
          <w:szCs w:val="32"/>
        </w:rPr>
        <w:t>8726.38</w:t>
      </w:r>
      <w:r w:rsidRPr="003561BD">
        <w:rPr>
          <w:rFonts w:ascii="仿宋_GB2312" w:eastAsia="仿宋_GB2312" w:cs="仿宋_GB2312" w:hint="eastAsia"/>
          <w:sz w:val="32"/>
          <w:szCs w:val="32"/>
        </w:rPr>
        <w:t>万元，其中：一般公共预算财政拨款收</w:t>
      </w:r>
      <w:r w:rsidR="002C3700">
        <w:rPr>
          <w:rFonts w:ascii="仿宋_GB2312" w:eastAsia="仿宋_GB2312" w:cs="仿宋_GB2312" w:hint="eastAsia"/>
          <w:sz w:val="32"/>
          <w:szCs w:val="32"/>
        </w:rPr>
        <w:t>入</w:t>
      </w:r>
      <w:r w:rsidR="00287298">
        <w:rPr>
          <w:rFonts w:ascii="仿宋_GB2312" w:eastAsia="仿宋_GB2312" w:cs="仿宋_GB2312" w:hint="eastAsia"/>
          <w:sz w:val="32"/>
          <w:szCs w:val="32"/>
        </w:rPr>
        <w:t>8726.38</w:t>
      </w:r>
      <w:r w:rsidRPr="003561BD">
        <w:rPr>
          <w:rFonts w:ascii="仿宋_GB2312" w:eastAsia="仿宋_GB2312" w:cs="仿宋_GB2312" w:hint="eastAsia"/>
          <w:sz w:val="32"/>
          <w:szCs w:val="32"/>
        </w:rPr>
        <w:t>万元，占</w:t>
      </w:r>
      <w:r w:rsidR="00F56327">
        <w:rPr>
          <w:rFonts w:ascii="仿宋_GB2312" w:eastAsia="仿宋_GB2312" w:cs="仿宋_GB2312" w:hint="eastAsia"/>
          <w:sz w:val="32"/>
          <w:szCs w:val="32"/>
        </w:rPr>
        <w:t>100.00</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00F56327">
        <w:rPr>
          <w:rFonts w:ascii="仿宋" w:eastAsia="仿宋" w:hAnsi="仿宋" w:hint="eastAsia"/>
          <w:color w:val="000000"/>
          <w:sz w:val="32"/>
          <w:szCs w:val="32"/>
        </w:rPr>
        <w:t>。</w:t>
      </w:r>
    </w:p>
    <w:p w:rsidR="001F07F7" w:rsidRDefault="001F07F7" w:rsidP="001F07F7">
      <w:pPr>
        <w:spacing w:line="240" w:lineRule="atLeas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2</w:t>
      </w:r>
      <w:r>
        <w:rPr>
          <w:rFonts w:ascii="仿宋" w:eastAsia="仿宋" w:hAnsi="仿宋" w:cs="仿宋" w:hint="eastAsia"/>
          <w:color w:val="000000"/>
          <w:sz w:val="24"/>
        </w:rPr>
        <w:t>：收入决算结构图）</w:t>
      </w:r>
    </w:p>
    <w:p w:rsidR="001F07F7" w:rsidRDefault="001F07F7" w:rsidP="001F07F7">
      <w:pPr>
        <w:ind w:firstLineChars="200" w:firstLine="640"/>
        <w:rPr>
          <w:rFonts w:ascii="仿宋_GB2312" w:eastAsia="仿宋_GB2312"/>
          <w:color w:val="FF0000"/>
          <w:sz w:val="32"/>
          <w:szCs w:val="32"/>
        </w:rPr>
      </w:pPr>
      <w:r>
        <w:rPr>
          <w:rFonts w:ascii="仿宋_GB2312" w:eastAsia="仿宋_GB2312"/>
          <w:noProof/>
          <w:color w:val="FF0000"/>
          <w:sz w:val="32"/>
          <w:szCs w:val="32"/>
        </w:rPr>
        <w:lastRenderedPageBreak/>
        <w:drawing>
          <wp:inline distT="0" distB="0" distL="0" distR="0">
            <wp:extent cx="5534025" cy="2325582"/>
            <wp:effectExtent l="0" t="0" r="0" b="0"/>
            <wp:docPr id="2"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95A1A" w:rsidRPr="0051658D" w:rsidRDefault="00295A1A" w:rsidP="0051658D">
      <w:pPr>
        <w:pStyle w:val="a6"/>
        <w:numPr>
          <w:ilvl w:val="0"/>
          <w:numId w:val="7"/>
        </w:numPr>
        <w:spacing w:line="600" w:lineRule="exact"/>
        <w:ind w:firstLineChars="0"/>
        <w:outlineLvl w:val="1"/>
        <w:rPr>
          <w:rStyle w:val="2Char"/>
          <w:rFonts w:ascii="黑体" w:eastAsia="黑体" w:hAnsi="黑体"/>
          <w:b w:val="0"/>
          <w:bCs w:val="0"/>
        </w:rPr>
      </w:pPr>
      <w:bookmarkStart w:id="18" w:name="_Toc15377207"/>
      <w:bookmarkStart w:id="19" w:name="_Toc15396605"/>
      <w:r w:rsidRPr="0051658D">
        <w:rPr>
          <w:rFonts w:ascii="黑体" w:eastAsia="黑体" w:hAnsi="黑体" w:cs="黑体" w:hint="eastAsia"/>
          <w:color w:val="000000"/>
          <w:sz w:val="32"/>
          <w:szCs w:val="32"/>
        </w:rPr>
        <w:t>支</w:t>
      </w:r>
      <w:r w:rsidRPr="0051658D">
        <w:rPr>
          <w:rStyle w:val="2Char"/>
          <w:rFonts w:ascii="黑体" w:eastAsia="黑体" w:hAnsi="黑体" w:cs="黑体" w:hint="eastAsia"/>
          <w:b w:val="0"/>
        </w:rPr>
        <w:t>出决算情况说明</w:t>
      </w:r>
      <w:bookmarkEnd w:id="18"/>
      <w:bookmarkEnd w:id="19"/>
    </w:p>
    <w:p w:rsidR="00295A1A" w:rsidRPr="003561BD" w:rsidRDefault="0051658D" w:rsidP="00295A1A">
      <w:pPr>
        <w:spacing w:line="600" w:lineRule="exact"/>
        <w:ind w:firstLine="640"/>
        <w:rPr>
          <w:rFonts w:ascii="仿宋_GB2312" w:eastAsia="仿宋_GB2312"/>
          <w:sz w:val="32"/>
          <w:szCs w:val="32"/>
        </w:rPr>
      </w:pPr>
      <w:r>
        <w:rPr>
          <w:rFonts w:ascii="仿宋_GB2312" w:eastAsia="仿宋_GB2312" w:cs="仿宋_GB2312" w:hint="eastAsia"/>
          <w:sz w:val="32"/>
          <w:szCs w:val="32"/>
        </w:rPr>
        <w:t>202</w:t>
      </w:r>
      <w:r w:rsidR="00F852B3">
        <w:rPr>
          <w:rFonts w:ascii="仿宋_GB2312" w:eastAsia="仿宋_GB2312" w:cs="仿宋_GB2312" w:hint="eastAsia"/>
          <w:sz w:val="32"/>
          <w:szCs w:val="32"/>
        </w:rPr>
        <w:t>1</w:t>
      </w:r>
      <w:r w:rsidR="00295A1A" w:rsidRPr="003561BD">
        <w:rPr>
          <w:rFonts w:ascii="仿宋_GB2312" w:eastAsia="仿宋_GB2312" w:cs="仿宋_GB2312" w:hint="eastAsia"/>
          <w:sz w:val="32"/>
          <w:szCs w:val="32"/>
        </w:rPr>
        <w:t>年本年支出合计</w:t>
      </w:r>
      <w:r w:rsidR="00F852B3">
        <w:rPr>
          <w:rFonts w:ascii="仿宋_GB2312" w:eastAsia="仿宋_GB2312" w:cs="仿宋_GB2312" w:hint="eastAsia"/>
          <w:sz w:val="32"/>
          <w:szCs w:val="32"/>
        </w:rPr>
        <w:t>8799.17</w:t>
      </w:r>
      <w:r w:rsidR="00295A1A" w:rsidRPr="003561BD">
        <w:rPr>
          <w:rFonts w:ascii="仿宋_GB2312" w:eastAsia="仿宋_GB2312" w:cs="仿宋_GB2312" w:hint="eastAsia"/>
          <w:sz w:val="32"/>
          <w:szCs w:val="32"/>
        </w:rPr>
        <w:t>万元，其中：基本支出</w:t>
      </w:r>
      <w:r w:rsidR="00F852B3">
        <w:rPr>
          <w:rFonts w:ascii="仿宋_GB2312" w:eastAsia="仿宋_GB2312" w:cs="仿宋_GB2312" w:hint="eastAsia"/>
          <w:sz w:val="32"/>
          <w:szCs w:val="32"/>
        </w:rPr>
        <w:t>5857.28</w:t>
      </w:r>
      <w:r w:rsidR="00295A1A" w:rsidRPr="003561BD">
        <w:rPr>
          <w:rFonts w:ascii="仿宋_GB2312" w:eastAsia="仿宋_GB2312" w:cs="仿宋_GB2312" w:hint="eastAsia"/>
          <w:sz w:val="32"/>
          <w:szCs w:val="32"/>
        </w:rPr>
        <w:t>占</w:t>
      </w:r>
      <w:r w:rsidR="00F852B3">
        <w:rPr>
          <w:rFonts w:ascii="仿宋_GB2312" w:eastAsia="仿宋_GB2312" w:cs="仿宋_GB2312" w:hint="eastAsia"/>
          <w:sz w:val="32"/>
          <w:szCs w:val="32"/>
        </w:rPr>
        <w:t>66.57</w:t>
      </w:r>
      <w:r w:rsidR="00295A1A" w:rsidRPr="003561BD">
        <w:rPr>
          <w:rFonts w:ascii="仿宋_GB2312" w:eastAsia="仿宋_GB2312" w:cs="仿宋_GB2312"/>
          <w:sz w:val="32"/>
          <w:szCs w:val="32"/>
        </w:rPr>
        <w:t>%</w:t>
      </w:r>
      <w:r w:rsidR="00295A1A" w:rsidRPr="003561BD">
        <w:rPr>
          <w:rFonts w:ascii="仿宋_GB2312" w:eastAsia="仿宋_GB2312" w:cs="仿宋_GB2312" w:hint="eastAsia"/>
          <w:sz w:val="32"/>
          <w:szCs w:val="32"/>
        </w:rPr>
        <w:t>；项目支出</w:t>
      </w:r>
      <w:r w:rsidR="00F852B3">
        <w:rPr>
          <w:rFonts w:ascii="仿宋_GB2312" w:eastAsia="仿宋_GB2312" w:cs="仿宋_GB2312" w:hint="eastAsia"/>
          <w:sz w:val="32"/>
          <w:szCs w:val="32"/>
        </w:rPr>
        <w:t>2941.89</w:t>
      </w:r>
      <w:r w:rsidR="00295A1A" w:rsidRPr="003561BD">
        <w:rPr>
          <w:rFonts w:ascii="仿宋_GB2312" w:eastAsia="仿宋_GB2312" w:cs="仿宋_GB2312" w:hint="eastAsia"/>
          <w:sz w:val="32"/>
          <w:szCs w:val="32"/>
        </w:rPr>
        <w:t>万元，占</w:t>
      </w:r>
      <w:r w:rsidR="00F852B3">
        <w:rPr>
          <w:rFonts w:ascii="仿宋_GB2312" w:eastAsia="仿宋_GB2312" w:cs="仿宋_GB2312" w:hint="eastAsia"/>
          <w:sz w:val="32"/>
          <w:szCs w:val="32"/>
        </w:rPr>
        <w:t>34.43</w:t>
      </w:r>
      <w:r w:rsidR="00295A1A" w:rsidRPr="003561BD">
        <w:rPr>
          <w:rFonts w:ascii="仿宋_GB2312" w:eastAsia="仿宋_GB2312" w:cs="仿宋_GB2312"/>
          <w:sz w:val="32"/>
          <w:szCs w:val="32"/>
        </w:rPr>
        <w:t>%</w:t>
      </w:r>
      <w:r w:rsidR="00295A1A" w:rsidRPr="003561BD">
        <w:rPr>
          <w:rFonts w:ascii="仿宋_GB2312" w:eastAsia="仿宋_GB2312" w:cs="仿宋_GB2312" w:hint="eastAsia"/>
          <w:sz w:val="32"/>
          <w:szCs w:val="32"/>
        </w:rPr>
        <w:t>；上缴上级支出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万元；经营支出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万元；对附属单位补助支出</w:t>
      </w:r>
      <w:r w:rsidR="00295A1A" w:rsidRPr="003561BD">
        <w:rPr>
          <w:rFonts w:ascii="仿宋_GB2312" w:eastAsia="仿宋_GB2312" w:cs="仿宋_GB2312"/>
          <w:sz w:val="32"/>
          <w:szCs w:val="32"/>
        </w:rPr>
        <w:t>0</w:t>
      </w:r>
      <w:r w:rsidR="00295A1A" w:rsidRPr="003561BD">
        <w:rPr>
          <w:rFonts w:ascii="仿宋_GB2312" w:eastAsia="仿宋_GB2312" w:cs="仿宋_GB2312" w:hint="eastAsia"/>
          <w:sz w:val="32"/>
          <w:szCs w:val="32"/>
        </w:rPr>
        <w:t>万元。</w:t>
      </w:r>
    </w:p>
    <w:p w:rsidR="00295A1A" w:rsidRDefault="00295A1A" w:rsidP="00295A1A">
      <w:pPr>
        <w:spacing w:line="6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3</w:t>
      </w:r>
      <w:r>
        <w:rPr>
          <w:rFonts w:ascii="仿宋" w:eastAsia="仿宋" w:hAnsi="仿宋" w:cs="仿宋" w:hint="eastAsia"/>
          <w:color w:val="000000"/>
          <w:sz w:val="24"/>
        </w:rPr>
        <w:t>：支出决算结构图）</w:t>
      </w:r>
    </w:p>
    <w:p w:rsidR="00295A1A" w:rsidRPr="00387396" w:rsidRDefault="00295A1A" w:rsidP="00295A1A">
      <w:pPr>
        <w:ind w:firstLineChars="200" w:firstLine="480"/>
        <w:rPr>
          <w:rFonts w:ascii="仿宋_GB2312" w:eastAsia="仿宋_GB2312"/>
          <w:color w:val="FF0000"/>
          <w:sz w:val="24"/>
        </w:rPr>
      </w:pPr>
      <w:r>
        <w:rPr>
          <w:rFonts w:ascii="仿宋_GB2312" w:eastAsia="仿宋_GB2312"/>
          <w:noProof/>
          <w:color w:val="FF0000"/>
          <w:sz w:val="24"/>
        </w:rPr>
        <w:drawing>
          <wp:inline distT="0" distB="0" distL="0" distR="0">
            <wp:extent cx="4657725" cy="1857375"/>
            <wp:effectExtent l="0" t="0" r="0" b="0"/>
            <wp:docPr id="3" name="对象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87396" w:rsidRPr="00DB15D0" w:rsidRDefault="00387396" w:rsidP="00387396">
      <w:pPr>
        <w:spacing w:line="600" w:lineRule="exact"/>
        <w:ind w:firstLineChars="200" w:firstLine="640"/>
        <w:outlineLvl w:val="1"/>
        <w:rPr>
          <w:rStyle w:val="2Char"/>
          <w:rFonts w:ascii="黑体" w:eastAsia="黑体" w:hAnsi="黑体"/>
          <w:b w:val="0"/>
          <w:bCs w:val="0"/>
        </w:rPr>
      </w:pPr>
      <w:bookmarkStart w:id="20" w:name="_Toc15377208"/>
      <w:bookmarkStart w:id="21" w:name="_Toc15396606"/>
      <w:r>
        <w:rPr>
          <w:rFonts w:ascii="黑体" w:eastAsia="黑体" w:hAnsi="黑体" w:cs="黑体" w:hint="eastAsia"/>
          <w:color w:val="000000"/>
          <w:sz w:val="32"/>
          <w:szCs w:val="32"/>
        </w:rPr>
        <w:t>四、财</w:t>
      </w:r>
      <w:r w:rsidRPr="00DB15D0">
        <w:rPr>
          <w:rStyle w:val="2Char"/>
          <w:rFonts w:ascii="黑体" w:eastAsia="黑体" w:hAnsi="黑体" w:cs="黑体" w:hint="eastAsia"/>
          <w:b w:val="0"/>
        </w:rPr>
        <w:t>政拨款收入支出决算总体情况说明</w:t>
      </w:r>
      <w:bookmarkEnd w:id="20"/>
      <w:bookmarkEnd w:id="21"/>
    </w:p>
    <w:p w:rsidR="00387396" w:rsidRPr="00122599" w:rsidRDefault="00DD6ECE" w:rsidP="00122599">
      <w:pPr>
        <w:spacing w:line="600" w:lineRule="exact"/>
        <w:ind w:firstLineChars="200" w:firstLine="640"/>
        <w:rPr>
          <w:rFonts w:ascii="仿宋" w:eastAsia="仿宋" w:hAnsi="仿宋"/>
          <w:color w:val="000000"/>
          <w:sz w:val="32"/>
          <w:szCs w:val="32"/>
        </w:rPr>
      </w:pPr>
      <w:r>
        <w:rPr>
          <w:rFonts w:ascii="仿宋_GB2312" w:eastAsia="仿宋_GB2312" w:cs="仿宋_GB2312" w:hint="eastAsia"/>
          <w:sz w:val="32"/>
          <w:szCs w:val="32"/>
        </w:rPr>
        <w:t>2021</w:t>
      </w:r>
      <w:r w:rsidR="00387396" w:rsidRPr="003561BD">
        <w:rPr>
          <w:rFonts w:ascii="仿宋_GB2312" w:eastAsia="仿宋_GB2312" w:cs="仿宋_GB2312" w:hint="eastAsia"/>
          <w:sz w:val="32"/>
          <w:szCs w:val="32"/>
        </w:rPr>
        <w:t>年财政拨款收</w:t>
      </w:r>
      <w:r w:rsidR="00122599">
        <w:rPr>
          <w:rFonts w:ascii="仿宋_GB2312" w:eastAsia="仿宋_GB2312" w:cs="仿宋_GB2312" w:hint="eastAsia"/>
          <w:sz w:val="32"/>
          <w:szCs w:val="32"/>
        </w:rPr>
        <w:t>、支总计</w:t>
      </w:r>
      <w:r>
        <w:rPr>
          <w:rFonts w:ascii="仿宋_GB2312" w:eastAsia="仿宋_GB2312" w:cs="仿宋_GB2312" w:hint="eastAsia"/>
          <w:sz w:val="32"/>
          <w:szCs w:val="32"/>
        </w:rPr>
        <w:t>8799.17</w:t>
      </w:r>
      <w:r w:rsidR="00122599">
        <w:rPr>
          <w:rFonts w:ascii="仿宋_GB2312" w:eastAsia="仿宋_GB2312" w:cs="仿宋_GB2312" w:hint="eastAsia"/>
          <w:sz w:val="32"/>
          <w:szCs w:val="32"/>
        </w:rPr>
        <w:t>万元。</w:t>
      </w:r>
      <w:r w:rsidR="00086804">
        <w:rPr>
          <w:rFonts w:ascii="仿宋_GB2312" w:eastAsia="仿宋_GB2312" w:cs="仿宋_GB2312" w:hint="eastAsia"/>
          <w:sz w:val="32"/>
          <w:szCs w:val="32"/>
        </w:rPr>
        <w:t>财政拨款</w:t>
      </w:r>
      <w:r w:rsidR="00122599">
        <w:rPr>
          <w:rFonts w:ascii="仿宋_GB2312" w:eastAsia="仿宋_GB2312" w:cs="仿宋_GB2312" w:hint="eastAsia"/>
          <w:sz w:val="32"/>
          <w:szCs w:val="32"/>
        </w:rPr>
        <w:t>收</w:t>
      </w:r>
      <w:r w:rsidR="00387396" w:rsidRPr="003561BD">
        <w:rPr>
          <w:rFonts w:ascii="仿宋_GB2312" w:eastAsia="仿宋_GB2312" w:cs="仿宋_GB2312" w:hint="eastAsia"/>
          <w:sz w:val="32"/>
          <w:szCs w:val="32"/>
        </w:rPr>
        <w:t>入</w:t>
      </w:r>
      <w:r>
        <w:rPr>
          <w:rFonts w:ascii="仿宋_GB2312" w:eastAsia="仿宋_GB2312" w:cs="仿宋_GB2312" w:hint="eastAsia"/>
          <w:sz w:val="32"/>
          <w:szCs w:val="32"/>
        </w:rPr>
        <w:t>8726.38</w:t>
      </w:r>
      <w:r w:rsidR="00387396" w:rsidRPr="003561BD">
        <w:rPr>
          <w:rFonts w:ascii="仿宋_GB2312" w:eastAsia="仿宋_GB2312" w:cs="仿宋_GB2312" w:hint="eastAsia"/>
          <w:sz w:val="32"/>
          <w:szCs w:val="32"/>
        </w:rPr>
        <w:t>万元，与</w:t>
      </w:r>
      <w:r w:rsidR="00387396" w:rsidRPr="003561BD">
        <w:rPr>
          <w:rFonts w:ascii="仿宋_GB2312" w:eastAsia="仿宋_GB2312" w:cs="仿宋_GB2312"/>
          <w:sz w:val="32"/>
          <w:szCs w:val="32"/>
        </w:rPr>
        <w:t>20</w:t>
      </w:r>
      <w:r>
        <w:rPr>
          <w:rFonts w:ascii="仿宋_GB2312" w:eastAsia="仿宋_GB2312" w:cs="仿宋_GB2312" w:hint="eastAsia"/>
          <w:sz w:val="32"/>
          <w:szCs w:val="32"/>
        </w:rPr>
        <w:t>20</w:t>
      </w:r>
      <w:r w:rsidR="00387396" w:rsidRPr="003561BD">
        <w:rPr>
          <w:rFonts w:ascii="仿宋_GB2312" w:eastAsia="仿宋_GB2312" w:cs="仿宋_GB2312" w:hint="eastAsia"/>
          <w:sz w:val="32"/>
          <w:szCs w:val="32"/>
        </w:rPr>
        <w:t>年相比，</w:t>
      </w:r>
      <w:r w:rsidR="009431D7">
        <w:rPr>
          <w:rFonts w:ascii="仿宋_GB2312" w:eastAsia="仿宋_GB2312" w:cs="仿宋_GB2312" w:hint="eastAsia"/>
          <w:sz w:val="32"/>
          <w:szCs w:val="32"/>
        </w:rPr>
        <w:t>增加</w:t>
      </w:r>
      <w:r w:rsidR="00387396" w:rsidRPr="003561BD">
        <w:rPr>
          <w:rFonts w:ascii="仿宋_GB2312" w:eastAsia="仿宋_GB2312" w:cs="仿宋_GB2312" w:hint="eastAsia"/>
          <w:sz w:val="32"/>
          <w:szCs w:val="32"/>
        </w:rPr>
        <w:t>了</w:t>
      </w:r>
      <w:r>
        <w:rPr>
          <w:rFonts w:ascii="仿宋_GB2312" w:eastAsia="仿宋_GB2312" w:cs="仿宋_GB2312" w:hint="eastAsia"/>
          <w:sz w:val="32"/>
          <w:szCs w:val="32"/>
        </w:rPr>
        <w:t>1580.52</w:t>
      </w:r>
      <w:r w:rsidR="00387396" w:rsidRPr="003561BD">
        <w:rPr>
          <w:rFonts w:ascii="仿宋_GB2312" w:eastAsia="仿宋_GB2312" w:cs="仿宋_GB2312" w:hint="eastAsia"/>
          <w:sz w:val="32"/>
          <w:szCs w:val="32"/>
        </w:rPr>
        <w:t>万元，</w:t>
      </w:r>
      <w:r w:rsidR="009431D7">
        <w:rPr>
          <w:rFonts w:ascii="仿宋_GB2312" w:eastAsia="仿宋_GB2312" w:cs="仿宋_GB2312" w:hint="eastAsia"/>
          <w:sz w:val="32"/>
          <w:szCs w:val="32"/>
        </w:rPr>
        <w:t>增加</w:t>
      </w:r>
      <w:r>
        <w:rPr>
          <w:rFonts w:ascii="仿宋_GB2312" w:eastAsia="仿宋_GB2312" w:cs="仿宋_GB2312" w:hint="eastAsia"/>
          <w:sz w:val="32"/>
          <w:szCs w:val="32"/>
        </w:rPr>
        <w:t>22.12</w:t>
      </w:r>
      <w:r w:rsidR="00387396" w:rsidRPr="003561BD">
        <w:rPr>
          <w:rFonts w:ascii="仿宋_GB2312" w:eastAsia="仿宋_GB2312" w:cs="仿宋_GB2312"/>
          <w:sz w:val="32"/>
          <w:szCs w:val="32"/>
        </w:rPr>
        <w:t>%</w:t>
      </w:r>
      <w:r w:rsidR="0062765F">
        <w:rPr>
          <w:rFonts w:ascii="仿宋_GB2312" w:eastAsia="仿宋_GB2312" w:cs="仿宋_GB2312" w:hint="eastAsia"/>
          <w:sz w:val="32"/>
          <w:szCs w:val="32"/>
        </w:rPr>
        <w:t>，主要变动原因</w:t>
      </w:r>
      <w:r>
        <w:rPr>
          <w:rFonts w:ascii="仿宋_GB2312" w:eastAsia="仿宋_GB2312" w:cs="仿宋_GB2312" w:hint="eastAsia"/>
          <w:sz w:val="32"/>
          <w:szCs w:val="32"/>
        </w:rPr>
        <w:t>人员经费、项目经费</w:t>
      </w:r>
      <w:r w:rsidR="007E05D4">
        <w:rPr>
          <w:rFonts w:ascii="仿宋_GB2312" w:eastAsia="仿宋_GB2312" w:cs="仿宋_GB2312" w:hint="eastAsia"/>
          <w:sz w:val="32"/>
          <w:szCs w:val="32"/>
        </w:rPr>
        <w:t>增加</w:t>
      </w:r>
      <w:r w:rsidR="00387396" w:rsidRPr="003561BD">
        <w:rPr>
          <w:rFonts w:ascii="仿宋_GB2312" w:eastAsia="仿宋_GB2312" w:cs="仿宋_GB2312" w:hint="eastAsia"/>
          <w:sz w:val="32"/>
          <w:szCs w:val="32"/>
        </w:rPr>
        <w:t>；</w:t>
      </w:r>
      <w:r w:rsidR="00086804">
        <w:rPr>
          <w:rFonts w:ascii="仿宋_GB2312" w:eastAsia="仿宋_GB2312" w:cs="仿宋_GB2312" w:hint="eastAsia"/>
          <w:sz w:val="32"/>
          <w:szCs w:val="32"/>
        </w:rPr>
        <w:t>财政拨款</w:t>
      </w:r>
      <w:r w:rsidR="00387396" w:rsidRPr="003561BD">
        <w:rPr>
          <w:rFonts w:ascii="仿宋_GB2312" w:eastAsia="仿宋_GB2312" w:cs="仿宋_GB2312" w:hint="eastAsia"/>
          <w:sz w:val="32"/>
          <w:szCs w:val="32"/>
        </w:rPr>
        <w:t>支出</w:t>
      </w:r>
      <w:r w:rsidR="0078031E">
        <w:rPr>
          <w:rFonts w:ascii="仿宋_GB2312" w:eastAsia="仿宋_GB2312" w:cs="仿宋_GB2312" w:hint="eastAsia"/>
          <w:sz w:val="32"/>
          <w:szCs w:val="32"/>
        </w:rPr>
        <w:t>8799.17</w:t>
      </w:r>
      <w:r w:rsidR="00387396" w:rsidRPr="003561BD">
        <w:rPr>
          <w:rFonts w:ascii="仿宋_GB2312" w:eastAsia="仿宋_GB2312" w:cs="仿宋_GB2312" w:hint="eastAsia"/>
          <w:sz w:val="32"/>
          <w:szCs w:val="32"/>
        </w:rPr>
        <w:t>元，与</w:t>
      </w:r>
      <w:r w:rsidR="00387396" w:rsidRPr="003561BD">
        <w:rPr>
          <w:rFonts w:ascii="仿宋_GB2312" w:eastAsia="仿宋_GB2312" w:cs="仿宋_GB2312"/>
          <w:sz w:val="32"/>
          <w:szCs w:val="32"/>
        </w:rPr>
        <w:t>20</w:t>
      </w:r>
      <w:r w:rsidR="0078031E">
        <w:rPr>
          <w:rFonts w:ascii="仿宋_GB2312" w:eastAsia="仿宋_GB2312" w:cs="仿宋_GB2312" w:hint="eastAsia"/>
          <w:sz w:val="32"/>
          <w:szCs w:val="32"/>
        </w:rPr>
        <w:t>20</w:t>
      </w:r>
      <w:r w:rsidR="00387396" w:rsidRPr="003561BD">
        <w:rPr>
          <w:rFonts w:ascii="仿宋_GB2312" w:eastAsia="仿宋_GB2312" w:cs="仿宋_GB2312" w:hint="eastAsia"/>
          <w:sz w:val="32"/>
          <w:szCs w:val="32"/>
        </w:rPr>
        <w:t>年相比，</w:t>
      </w:r>
      <w:r w:rsidR="0078031E">
        <w:rPr>
          <w:rFonts w:ascii="仿宋_GB2312" w:eastAsia="仿宋_GB2312" w:cs="仿宋_GB2312" w:hint="eastAsia"/>
          <w:sz w:val="32"/>
          <w:szCs w:val="32"/>
        </w:rPr>
        <w:t>增加1692.82</w:t>
      </w:r>
      <w:r w:rsidR="00122599">
        <w:rPr>
          <w:rFonts w:ascii="仿宋_GB2312" w:eastAsia="仿宋_GB2312" w:cs="仿宋_GB2312" w:hint="eastAsia"/>
          <w:sz w:val="32"/>
          <w:szCs w:val="32"/>
        </w:rPr>
        <w:t>万元，</w:t>
      </w:r>
      <w:r w:rsidR="0078031E">
        <w:rPr>
          <w:rFonts w:ascii="仿宋_GB2312" w:eastAsia="仿宋_GB2312" w:cs="仿宋_GB2312" w:hint="eastAsia"/>
          <w:sz w:val="32"/>
          <w:szCs w:val="32"/>
        </w:rPr>
        <w:lastRenderedPageBreak/>
        <w:t>增加23.82</w:t>
      </w:r>
      <w:r w:rsidR="00387396" w:rsidRPr="003561BD">
        <w:rPr>
          <w:rFonts w:ascii="仿宋_GB2312" w:eastAsia="仿宋_GB2312" w:cs="仿宋_GB2312"/>
          <w:sz w:val="32"/>
          <w:szCs w:val="32"/>
        </w:rPr>
        <w:t>%</w:t>
      </w:r>
      <w:r w:rsidR="0062765F">
        <w:rPr>
          <w:rFonts w:ascii="仿宋_GB2312" w:eastAsia="仿宋_GB2312" w:cs="仿宋_GB2312" w:hint="eastAsia"/>
          <w:sz w:val="32"/>
          <w:szCs w:val="32"/>
        </w:rPr>
        <w:t>，</w:t>
      </w:r>
      <w:r w:rsidR="00387396" w:rsidRPr="003561BD">
        <w:rPr>
          <w:rFonts w:ascii="仿宋_GB2312" w:eastAsia="仿宋_GB2312" w:cs="仿宋_GB2312" w:hint="eastAsia"/>
          <w:sz w:val="32"/>
          <w:szCs w:val="32"/>
        </w:rPr>
        <w:t>主要变动原因是</w:t>
      </w:r>
      <w:r w:rsidR="0078031E">
        <w:rPr>
          <w:rFonts w:ascii="仿宋_GB2312" w:eastAsia="仿宋_GB2312" w:cs="仿宋_GB2312" w:hint="eastAsia"/>
          <w:sz w:val="32"/>
          <w:szCs w:val="32"/>
        </w:rPr>
        <w:t>城乡社区等支出增加</w:t>
      </w:r>
      <w:r w:rsidR="0062765F">
        <w:rPr>
          <w:rFonts w:ascii="仿宋_GB2312" w:eastAsia="仿宋_GB2312" w:cs="仿宋_GB2312" w:hint="eastAsia"/>
          <w:sz w:val="32"/>
          <w:szCs w:val="32"/>
        </w:rPr>
        <w:t>。</w:t>
      </w:r>
    </w:p>
    <w:p w:rsidR="00387396" w:rsidRPr="00DE2E15" w:rsidRDefault="00387396" w:rsidP="00387396">
      <w:pPr>
        <w:spacing w:line="600" w:lineRule="exact"/>
        <w:ind w:firstLineChars="200" w:firstLine="640"/>
        <w:rPr>
          <w:rFonts w:ascii="仿宋_GB2312" w:eastAsia="仿宋_GB2312"/>
          <w:sz w:val="32"/>
          <w:szCs w:val="32"/>
        </w:rPr>
      </w:pPr>
    </w:p>
    <w:p w:rsidR="00387396" w:rsidRDefault="00387396" w:rsidP="00387396">
      <w:pPr>
        <w:spacing w:line="6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4</w:t>
      </w:r>
      <w:r>
        <w:rPr>
          <w:rFonts w:ascii="仿宋" w:eastAsia="仿宋" w:hAnsi="仿宋" w:cs="仿宋" w:hint="eastAsia"/>
          <w:color w:val="000000"/>
          <w:sz w:val="24"/>
        </w:rPr>
        <w:t>：财政拨款收、支决算总计变动情况）</w:t>
      </w:r>
    </w:p>
    <w:p w:rsidR="00387396" w:rsidRPr="002D51C4" w:rsidRDefault="00387396" w:rsidP="002D51C4">
      <w:pPr>
        <w:ind w:firstLineChars="200" w:firstLine="640"/>
        <w:rPr>
          <w:rFonts w:ascii="仿宋" w:eastAsia="仿宋" w:hAnsi="仿宋"/>
          <w:color w:val="000000"/>
          <w:sz w:val="32"/>
          <w:szCs w:val="32"/>
        </w:rPr>
      </w:pPr>
      <w:r>
        <w:rPr>
          <w:rFonts w:ascii="仿宋" w:eastAsia="仿宋" w:hAnsi="仿宋"/>
          <w:noProof/>
          <w:color w:val="000000"/>
          <w:sz w:val="32"/>
          <w:szCs w:val="32"/>
        </w:rPr>
        <w:drawing>
          <wp:inline distT="0" distB="0" distL="0" distR="0">
            <wp:extent cx="4495800" cy="1855958"/>
            <wp:effectExtent l="0" t="0" r="0" b="0"/>
            <wp:docPr id="25" name="对象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7396" w:rsidRPr="00DB15D0" w:rsidRDefault="00387396" w:rsidP="00387396">
      <w:pPr>
        <w:spacing w:line="600" w:lineRule="exact"/>
        <w:ind w:firstLineChars="200" w:firstLine="640"/>
        <w:outlineLvl w:val="1"/>
        <w:rPr>
          <w:rStyle w:val="2Char"/>
          <w:rFonts w:ascii="黑体" w:eastAsia="黑体" w:hAnsi="黑体"/>
          <w:b w:val="0"/>
          <w:bCs w:val="0"/>
        </w:rPr>
      </w:pPr>
      <w:bookmarkStart w:id="22" w:name="_Toc15377209"/>
      <w:bookmarkStart w:id="23" w:name="_Toc15396607"/>
      <w:r>
        <w:rPr>
          <w:rFonts w:ascii="黑体" w:eastAsia="黑体" w:hAnsi="黑体" w:cs="黑体" w:hint="eastAsia"/>
          <w:color w:val="000000"/>
          <w:sz w:val="32"/>
          <w:szCs w:val="32"/>
        </w:rPr>
        <w:t>五、</w:t>
      </w:r>
      <w:r w:rsidRPr="00DB15D0">
        <w:rPr>
          <w:rFonts w:ascii="黑体" w:eastAsia="黑体" w:hAnsi="黑体" w:cs="黑体" w:hint="eastAsia"/>
          <w:b/>
          <w:bCs/>
          <w:color w:val="000000"/>
          <w:sz w:val="32"/>
          <w:szCs w:val="32"/>
        </w:rPr>
        <w:t>一</w:t>
      </w:r>
      <w:r w:rsidRPr="00DB15D0">
        <w:rPr>
          <w:rStyle w:val="2Char"/>
          <w:rFonts w:ascii="黑体" w:eastAsia="黑体" w:hAnsi="黑体" w:cs="黑体" w:hint="eastAsia"/>
          <w:b w:val="0"/>
        </w:rPr>
        <w:t>般公共预算财政拨款支出决算情况说明</w:t>
      </w:r>
      <w:bookmarkEnd w:id="22"/>
      <w:bookmarkEnd w:id="23"/>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4" w:name="_Toc15377210"/>
      <w:r>
        <w:rPr>
          <w:rFonts w:ascii="仿宋" w:eastAsia="仿宋" w:hAnsi="仿宋" w:cs="仿宋" w:hint="eastAsia"/>
          <w:b/>
          <w:bCs/>
          <w:color w:val="000000"/>
          <w:sz w:val="32"/>
          <w:szCs w:val="32"/>
        </w:rPr>
        <w:t>（一）一般公共预算财政拨款支出决算总体情况</w:t>
      </w:r>
      <w:bookmarkEnd w:id="24"/>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20</w:t>
      </w:r>
      <w:r w:rsidR="00CE17AD">
        <w:rPr>
          <w:rFonts w:ascii="仿宋_GB2312" w:eastAsia="仿宋_GB2312" w:cs="仿宋_GB2312" w:hint="eastAsia"/>
          <w:sz w:val="32"/>
          <w:szCs w:val="32"/>
        </w:rPr>
        <w:t>21</w:t>
      </w:r>
      <w:r w:rsidRPr="003561BD">
        <w:rPr>
          <w:rFonts w:ascii="仿宋_GB2312" w:eastAsia="仿宋_GB2312" w:cs="仿宋_GB2312" w:hint="eastAsia"/>
          <w:sz w:val="32"/>
          <w:szCs w:val="32"/>
        </w:rPr>
        <w:t>年一般公共预算财政拨款支出</w:t>
      </w:r>
      <w:r w:rsidR="00CE17AD">
        <w:rPr>
          <w:rFonts w:ascii="仿宋_GB2312" w:eastAsia="仿宋_GB2312" w:cs="仿宋_GB2312" w:hint="eastAsia"/>
          <w:sz w:val="32"/>
          <w:szCs w:val="32"/>
        </w:rPr>
        <w:t>8799.17</w:t>
      </w:r>
      <w:r w:rsidRPr="003561BD">
        <w:rPr>
          <w:rFonts w:ascii="仿宋_GB2312" w:eastAsia="仿宋_GB2312" w:cs="仿宋_GB2312" w:hint="eastAsia"/>
          <w:sz w:val="32"/>
          <w:szCs w:val="32"/>
        </w:rPr>
        <w:t>万元，占本年支出合计的</w:t>
      </w:r>
      <w:r w:rsidR="00CE17AD">
        <w:rPr>
          <w:rFonts w:ascii="仿宋_GB2312" w:eastAsia="仿宋_GB2312" w:cs="仿宋_GB2312" w:hint="eastAsia"/>
          <w:sz w:val="32"/>
          <w:szCs w:val="32"/>
        </w:rPr>
        <w:t>100</w:t>
      </w:r>
      <w:r w:rsidRPr="003561BD">
        <w:rPr>
          <w:rFonts w:ascii="仿宋_GB2312" w:eastAsia="仿宋_GB2312" w:cs="仿宋_GB2312"/>
          <w:sz w:val="32"/>
          <w:szCs w:val="32"/>
        </w:rPr>
        <w:t>%</w:t>
      </w:r>
      <w:r w:rsidRPr="003561BD">
        <w:rPr>
          <w:rFonts w:ascii="仿宋_GB2312" w:eastAsia="仿宋_GB2312" w:cs="仿宋_GB2312" w:hint="eastAsia"/>
          <w:sz w:val="32"/>
          <w:szCs w:val="32"/>
        </w:rPr>
        <w:t>。与</w:t>
      </w:r>
      <w:r w:rsidR="00CE17AD">
        <w:rPr>
          <w:rFonts w:ascii="仿宋_GB2312" w:eastAsia="仿宋_GB2312" w:cs="仿宋_GB2312"/>
          <w:sz w:val="32"/>
          <w:szCs w:val="32"/>
        </w:rPr>
        <w:t>20</w:t>
      </w:r>
      <w:r w:rsidR="00CE17AD">
        <w:rPr>
          <w:rFonts w:ascii="仿宋_GB2312" w:eastAsia="仿宋_GB2312" w:cs="仿宋_GB2312" w:hint="eastAsia"/>
          <w:sz w:val="32"/>
          <w:szCs w:val="32"/>
        </w:rPr>
        <w:t>20</w:t>
      </w:r>
      <w:r w:rsidRPr="003561BD">
        <w:rPr>
          <w:rFonts w:ascii="仿宋_GB2312" w:eastAsia="仿宋_GB2312" w:cs="仿宋_GB2312" w:hint="eastAsia"/>
          <w:sz w:val="32"/>
          <w:szCs w:val="32"/>
        </w:rPr>
        <w:t>年相比，一般公共预算财政拨款</w:t>
      </w:r>
      <w:r w:rsidR="009767A8">
        <w:rPr>
          <w:rFonts w:ascii="仿宋_GB2312" w:eastAsia="仿宋_GB2312" w:cs="仿宋_GB2312" w:hint="eastAsia"/>
          <w:sz w:val="32"/>
          <w:szCs w:val="32"/>
        </w:rPr>
        <w:t>支出</w:t>
      </w:r>
      <w:r w:rsidR="00CE17AD">
        <w:rPr>
          <w:rFonts w:ascii="仿宋_GB2312" w:eastAsia="仿宋_GB2312" w:cs="仿宋_GB2312" w:hint="eastAsia"/>
          <w:sz w:val="32"/>
          <w:szCs w:val="32"/>
        </w:rPr>
        <w:t>增加1692.82</w:t>
      </w:r>
      <w:r w:rsidRPr="003561BD">
        <w:rPr>
          <w:rFonts w:ascii="仿宋_GB2312" w:eastAsia="仿宋_GB2312" w:cs="仿宋_GB2312" w:hint="eastAsia"/>
          <w:sz w:val="32"/>
          <w:szCs w:val="32"/>
        </w:rPr>
        <w:t>万元，</w:t>
      </w:r>
      <w:r w:rsidR="00CE17AD">
        <w:rPr>
          <w:rFonts w:ascii="仿宋_GB2312" w:eastAsia="仿宋_GB2312" w:cs="仿宋_GB2312" w:hint="eastAsia"/>
          <w:sz w:val="32"/>
          <w:szCs w:val="32"/>
        </w:rPr>
        <w:t>增加23.82</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Pr="009767A8">
        <w:rPr>
          <w:rFonts w:ascii="仿宋_GB2312" w:eastAsia="仿宋_GB2312" w:cs="仿宋_GB2312" w:hint="eastAsia"/>
          <w:sz w:val="32"/>
          <w:szCs w:val="32"/>
        </w:rPr>
        <w:t>主要变动原因是</w:t>
      </w:r>
      <w:proofErr w:type="gramStart"/>
      <w:r w:rsidR="006508CD">
        <w:rPr>
          <w:rFonts w:ascii="仿宋_GB2312" w:eastAsia="仿宋_GB2312" w:cs="仿宋_GB2312" w:hint="eastAsia"/>
          <w:sz w:val="32"/>
          <w:szCs w:val="32"/>
        </w:rPr>
        <w:t>财</w:t>
      </w:r>
      <w:r w:rsidR="00CE17AD">
        <w:rPr>
          <w:rFonts w:ascii="仿宋_GB2312" w:eastAsia="仿宋_GB2312" w:cs="仿宋_GB2312" w:hint="eastAsia"/>
          <w:sz w:val="32"/>
          <w:szCs w:val="32"/>
        </w:rPr>
        <w:t>人员</w:t>
      </w:r>
      <w:proofErr w:type="gramEnd"/>
      <w:r w:rsidR="00CE17AD">
        <w:rPr>
          <w:rFonts w:ascii="仿宋_GB2312" w:eastAsia="仿宋_GB2312" w:cs="仿宋_GB2312" w:hint="eastAsia"/>
          <w:sz w:val="32"/>
          <w:szCs w:val="32"/>
        </w:rPr>
        <w:t>经费、公用经费支出增加。</w:t>
      </w:r>
    </w:p>
    <w:p w:rsidR="00387396" w:rsidRDefault="00387396" w:rsidP="00387396">
      <w:pPr>
        <w:spacing w:line="160" w:lineRule="atLeas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5</w:t>
      </w:r>
      <w:r>
        <w:rPr>
          <w:rFonts w:ascii="仿宋" w:eastAsia="仿宋" w:hAnsi="仿宋" w:cs="仿宋" w:hint="eastAsia"/>
          <w:color w:val="000000"/>
          <w:sz w:val="24"/>
        </w:rPr>
        <w:t>：一般公共预算财政拨款支出决算变动情况）</w:t>
      </w:r>
    </w:p>
    <w:p w:rsidR="00387396" w:rsidRDefault="00387396" w:rsidP="00387396">
      <w:pPr>
        <w:ind w:firstLineChars="200" w:firstLine="480"/>
        <w:rPr>
          <w:rFonts w:ascii="仿宋" w:eastAsia="仿宋" w:hAnsi="仿宋"/>
          <w:color w:val="000000"/>
          <w:sz w:val="24"/>
        </w:rPr>
      </w:pPr>
      <w:r>
        <w:rPr>
          <w:rFonts w:ascii="仿宋" w:eastAsia="仿宋" w:hAnsi="仿宋"/>
          <w:noProof/>
          <w:color w:val="000000"/>
          <w:sz w:val="24"/>
        </w:rPr>
        <w:drawing>
          <wp:inline distT="0" distB="0" distL="0" distR="0">
            <wp:extent cx="4229100" cy="1762125"/>
            <wp:effectExtent l="0" t="0" r="0" b="0"/>
            <wp:docPr id="26" name="对象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5" w:name="_Toc15377211"/>
      <w:r>
        <w:rPr>
          <w:rFonts w:ascii="仿宋" w:eastAsia="仿宋" w:hAnsi="仿宋" w:cs="仿宋" w:hint="eastAsia"/>
          <w:b/>
          <w:bCs/>
          <w:color w:val="000000"/>
          <w:sz w:val="32"/>
          <w:szCs w:val="32"/>
        </w:rPr>
        <w:t>（二）一般公共预算财政拨款支出决算结构情况</w:t>
      </w:r>
      <w:bookmarkEnd w:id="25"/>
    </w:p>
    <w:p w:rsidR="00387396" w:rsidRPr="003561BD" w:rsidRDefault="00387396" w:rsidP="00387396">
      <w:pPr>
        <w:spacing w:line="540" w:lineRule="exact"/>
        <w:ind w:firstLine="641"/>
        <w:rPr>
          <w:rFonts w:ascii="仿宋_GB2312" w:eastAsia="仿宋_GB2312"/>
          <w:sz w:val="32"/>
          <w:szCs w:val="32"/>
        </w:rPr>
      </w:pPr>
      <w:r w:rsidRPr="003561BD">
        <w:rPr>
          <w:rFonts w:ascii="仿宋_GB2312" w:eastAsia="仿宋_GB2312" w:cs="仿宋_GB2312"/>
          <w:sz w:val="32"/>
          <w:szCs w:val="32"/>
        </w:rPr>
        <w:t>20</w:t>
      </w:r>
      <w:r w:rsidR="00552D04">
        <w:rPr>
          <w:rFonts w:ascii="仿宋_GB2312" w:eastAsia="仿宋_GB2312" w:cs="仿宋_GB2312" w:hint="eastAsia"/>
          <w:sz w:val="32"/>
          <w:szCs w:val="32"/>
        </w:rPr>
        <w:t>21</w:t>
      </w:r>
      <w:r w:rsidRPr="003561BD">
        <w:rPr>
          <w:rFonts w:ascii="仿宋_GB2312" w:eastAsia="仿宋_GB2312" w:cs="仿宋_GB2312" w:hint="eastAsia"/>
          <w:sz w:val="32"/>
          <w:szCs w:val="32"/>
        </w:rPr>
        <w:t>年一般公共预算财政拨款支出</w:t>
      </w:r>
      <w:r w:rsidR="00552D04">
        <w:rPr>
          <w:rFonts w:ascii="仿宋_GB2312" w:eastAsia="仿宋_GB2312" w:cs="仿宋_GB2312" w:hint="eastAsia"/>
          <w:sz w:val="32"/>
          <w:szCs w:val="32"/>
        </w:rPr>
        <w:t>8799.17</w:t>
      </w:r>
      <w:r w:rsidRPr="003561BD">
        <w:rPr>
          <w:rFonts w:ascii="仿宋_GB2312" w:eastAsia="仿宋_GB2312" w:cs="仿宋_GB2312" w:hint="eastAsia"/>
          <w:sz w:val="32"/>
          <w:szCs w:val="32"/>
        </w:rPr>
        <w:t>万元，主要用于以下方面</w:t>
      </w:r>
      <w:r w:rsidRPr="003561BD">
        <w:rPr>
          <w:rFonts w:ascii="仿宋_GB2312" w:eastAsia="仿宋_GB2312" w:cs="仿宋_GB2312"/>
          <w:sz w:val="32"/>
          <w:szCs w:val="32"/>
        </w:rPr>
        <w:t>:</w:t>
      </w:r>
      <w:r w:rsidRPr="003561BD">
        <w:rPr>
          <w:rFonts w:ascii="仿宋_GB2312" w:eastAsia="仿宋_GB2312" w:cs="仿宋_GB2312" w:hint="eastAsia"/>
          <w:sz w:val="32"/>
          <w:szCs w:val="32"/>
        </w:rPr>
        <w:t>社会保障和就业支出</w:t>
      </w:r>
      <w:r w:rsidR="00552D04">
        <w:rPr>
          <w:rFonts w:ascii="仿宋_GB2312" w:eastAsia="仿宋_GB2312" w:cs="仿宋_GB2312" w:hint="eastAsia"/>
          <w:sz w:val="32"/>
          <w:szCs w:val="32"/>
        </w:rPr>
        <w:t>627.16</w:t>
      </w:r>
      <w:r w:rsidRPr="003561BD">
        <w:rPr>
          <w:rFonts w:ascii="仿宋_GB2312" w:eastAsia="仿宋_GB2312" w:cs="仿宋_GB2312" w:hint="eastAsia"/>
          <w:sz w:val="32"/>
          <w:szCs w:val="32"/>
        </w:rPr>
        <w:t>万元，占</w:t>
      </w:r>
      <w:r w:rsidR="00552D04">
        <w:rPr>
          <w:rFonts w:ascii="仿宋_GB2312" w:eastAsia="仿宋_GB2312" w:cs="仿宋_GB2312" w:hint="eastAsia"/>
          <w:sz w:val="32"/>
          <w:szCs w:val="32"/>
        </w:rPr>
        <w:t>7.12</w:t>
      </w:r>
      <w:r w:rsidRPr="003561BD">
        <w:rPr>
          <w:rFonts w:ascii="仿宋_GB2312" w:eastAsia="仿宋_GB2312" w:cs="仿宋_GB2312"/>
          <w:sz w:val="32"/>
          <w:szCs w:val="32"/>
        </w:rPr>
        <w:t>%</w:t>
      </w:r>
      <w:r w:rsidRPr="003561BD">
        <w:rPr>
          <w:rFonts w:ascii="仿宋_GB2312" w:eastAsia="仿宋_GB2312" w:cs="仿宋_GB2312" w:hint="eastAsia"/>
          <w:sz w:val="32"/>
          <w:szCs w:val="32"/>
        </w:rPr>
        <w:t>；</w:t>
      </w:r>
      <w:r w:rsidR="00577B58">
        <w:rPr>
          <w:rFonts w:ascii="仿宋_GB2312" w:eastAsia="仿宋_GB2312" w:cs="仿宋_GB2312" w:hint="eastAsia"/>
          <w:sz w:val="32"/>
          <w:szCs w:val="32"/>
        </w:rPr>
        <w:t>卫生健康</w:t>
      </w:r>
      <w:r w:rsidRPr="003561BD">
        <w:rPr>
          <w:rFonts w:ascii="仿宋_GB2312" w:eastAsia="仿宋_GB2312" w:cs="仿宋_GB2312" w:hint="eastAsia"/>
          <w:sz w:val="32"/>
          <w:szCs w:val="32"/>
        </w:rPr>
        <w:t>支出</w:t>
      </w:r>
      <w:r w:rsidR="00552D04">
        <w:rPr>
          <w:rFonts w:ascii="仿宋_GB2312" w:eastAsia="仿宋_GB2312" w:cs="仿宋_GB2312" w:hint="eastAsia"/>
          <w:sz w:val="32"/>
          <w:szCs w:val="32"/>
        </w:rPr>
        <w:t>178.61</w:t>
      </w:r>
      <w:r w:rsidRPr="003561BD">
        <w:rPr>
          <w:rFonts w:ascii="仿宋_GB2312" w:eastAsia="仿宋_GB2312" w:cs="仿宋_GB2312" w:hint="eastAsia"/>
          <w:sz w:val="32"/>
          <w:szCs w:val="32"/>
        </w:rPr>
        <w:t>万元，占</w:t>
      </w:r>
      <w:r w:rsidR="00450127">
        <w:rPr>
          <w:rFonts w:ascii="仿宋_GB2312" w:eastAsia="仿宋_GB2312" w:cs="仿宋_GB2312" w:hint="eastAsia"/>
          <w:sz w:val="32"/>
          <w:szCs w:val="32"/>
        </w:rPr>
        <w:t>2.</w:t>
      </w:r>
      <w:r w:rsidR="00552D04">
        <w:rPr>
          <w:rFonts w:ascii="仿宋_GB2312" w:eastAsia="仿宋_GB2312" w:cs="仿宋_GB2312" w:hint="eastAsia"/>
          <w:sz w:val="32"/>
          <w:szCs w:val="32"/>
        </w:rPr>
        <w:t>03</w:t>
      </w:r>
      <w:r w:rsidRPr="003561BD">
        <w:rPr>
          <w:rFonts w:ascii="仿宋_GB2312" w:eastAsia="仿宋_GB2312" w:cs="仿宋_GB2312"/>
          <w:sz w:val="32"/>
          <w:szCs w:val="32"/>
        </w:rPr>
        <w:t>%</w:t>
      </w:r>
      <w:r w:rsidRPr="003561BD">
        <w:rPr>
          <w:rFonts w:ascii="仿宋_GB2312" w:eastAsia="仿宋_GB2312" w:cs="仿宋_GB2312" w:hint="eastAsia"/>
          <w:sz w:val="32"/>
          <w:szCs w:val="32"/>
        </w:rPr>
        <w:t>；城乡社区支出</w:t>
      </w:r>
      <w:r w:rsidR="00552D04">
        <w:rPr>
          <w:rFonts w:ascii="仿宋_GB2312" w:eastAsia="仿宋_GB2312" w:cs="仿宋_GB2312" w:hint="eastAsia"/>
          <w:sz w:val="32"/>
          <w:szCs w:val="32"/>
        </w:rPr>
        <w:t>7508.50</w:t>
      </w:r>
      <w:r w:rsidRPr="003561BD">
        <w:rPr>
          <w:rFonts w:ascii="仿宋_GB2312" w:eastAsia="仿宋_GB2312" w:cs="仿宋_GB2312" w:hint="eastAsia"/>
          <w:sz w:val="32"/>
          <w:szCs w:val="32"/>
        </w:rPr>
        <w:lastRenderedPageBreak/>
        <w:t>万元，占</w:t>
      </w:r>
      <w:r w:rsidR="00552D04">
        <w:rPr>
          <w:rFonts w:ascii="仿宋_GB2312" w:eastAsia="仿宋_GB2312" w:cs="仿宋_GB2312" w:hint="eastAsia"/>
          <w:sz w:val="32"/>
          <w:szCs w:val="32"/>
        </w:rPr>
        <w:t>85.33</w:t>
      </w:r>
      <w:r w:rsidRPr="003561BD">
        <w:rPr>
          <w:rFonts w:ascii="仿宋_GB2312" w:eastAsia="仿宋_GB2312" w:cs="仿宋_GB2312"/>
          <w:sz w:val="32"/>
          <w:szCs w:val="32"/>
        </w:rPr>
        <w:t>%</w:t>
      </w:r>
      <w:r w:rsidRPr="003561BD">
        <w:rPr>
          <w:rFonts w:ascii="仿宋_GB2312" w:eastAsia="仿宋_GB2312" w:cs="仿宋_GB2312" w:hint="eastAsia"/>
          <w:sz w:val="32"/>
          <w:szCs w:val="32"/>
        </w:rPr>
        <w:t>；住房保障支出</w:t>
      </w:r>
      <w:r w:rsidR="00552D04">
        <w:rPr>
          <w:rFonts w:ascii="仿宋_GB2312" w:eastAsia="仿宋_GB2312" w:cs="仿宋_GB2312" w:hint="eastAsia"/>
          <w:sz w:val="32"/>
          <w:szCs w:val="32"/>
        </w:rPr>
        <w:t>484.90</w:t>
      </w:r>
      <w:r w:rsidRPr="003561BD">
        <w:rPr>
          <w:rFonts w:ascii="仿宋_GB2312" w:eastAsia="仿宋_GB2312" w:cs="仿宋_GB2312" w:hint="eastAsia"/>
          <w:sz w:val="32"/>
          <w:szCs w:val="32"/>
        </w:rPr>
        <w:t>万元，占</w:t>
      </w:r>
      <w:r w:rsidR="00552D04">
        <w:rPr>
          <w:rFonts w:ascii="仿宋_GB2312" w:eastAsia="仿宋_GB2312" w:cs="仿宋_GB2312" w:hint="eastAsia"/>
          <w:sz w:val="32"/>
          <w:szCs w:val="32"/>
        </w:rPr>
        <w:t>5.52</w:t>
      </w:r>
      <w:r w:rsidRPr="003561BD">
        <w:rPr>
          <w:rFonts w:ascii="仿宋_GB2312" w:eastAsia="仿宋_GB2312" w:cs="仿宋_GB2312"/>
          <w:sz w:val="32"/>
          <w:szCs w:val="32"/>
        </w:rPr>
        <w:t>%</w:t>
      </w:r>
      <w:r w:rsidR="006A6296">
        <w:rPr>
          <w:rFonts w:ascii="仿宋_GB2312" w:eastAsia="仿宋_GB2312" w:cs="仿宋_GB2312" w:hint="eastAsia"/>
          <w:sz w:val="32"/>
          <w:szCs w:val="32"/>
        </w:rPr>
        <w:t>。</w:t>
      </w:r>
    </w:p>
    <w:p w:rsidR="00387396" w:rsidRDefault="00387396" w:rsidP="00387396">
      <w:pPr>
        <w:spacing w:line="5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6</w:t>
      </w:r>
      <w:r>
        <w:rPr>
          <w:rFonts w:ascii="仿宋" w:eastAsia="仿宋" w:hAnsi="仿宋" w:cs="仿宋" w:hint="eastAsia"/>
          <w:color w:val="000000"/>
          <w:sz w:val="24"/>
        </w:rPr>
        <w:t>：一般公共预算财政拨款支出决算结构）</w:t>
      </w:r>
    </w:p>
    <w:p w:rsidR="00387396" w:rsidRDefault="000C7CD8" w:rsidP="00387396">
      <w:pPr>
        <w:ind w:firstLineChars="200" w:firstLine="640"/>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270396" cy="2931091"/>
            <wp:effectExtent l="19050" t="0" r="25504" b="2609"/>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7396" w:rsidRDefault="00387396" w:rsidP="00387396">
      <w:pPr>
        <w:spacing w:line="600" w:lineRule="exact"/>
        <w:ind w:firstLineChars="200" w:firstLine="643"/>
        <w:outlineLvl w:val="2"/>
        <w:rPr>
          <w:rFonts w:ascii="仿宋" w:eastAsia="仿宋" w:hAnsi="仿宋"/>
          <w:b/>
          <w:bCs/>
          <w:color w:val="000000"/>
          <w:sz w:val="32"/>
          <w:szCs w:val="32"/>
        </w:rPr>
      </w:pPr>
      <w:bookmarkStart w:id="26" w:name="_Toc15377212"/>
      <w:r>
        <w:rPr>
          <w:rFonts w:ascii="仿宋" w:eastAsia="仿宋" w:hAnsi="仿宋" w:cs="仿宋" w:hint="eastAsia"/>
          <w:b/>
          <w:bCs/>
          <w:color w:val="000000"/>
          <w:sz w:val="32"/>
          <w:szCs w:val="32"/>
        </w:rPr>
        <w:t>（三）一般公共预算财政拨款支出决算具体情况</w:t>
      </w:r>
      <w:bookmarkEnd w:id="26"/>
    </w:p>
    <w:p w:rsidR="00387396" w:rsidRPr="003561BD" w:rsidRDefault="00387396" w:rsidP="00387396">
      <w:pPr>
        <w:spacing w:line="600" w:lineRule="exact"/>
        <w:ind w:firstLineChars="200" w:firstLine="640"/>
        <w:outlineLvl w:val="2"/>
        <w:rPr>
          <w:rFonts w:ascii="仿宋_GB2312" w:eastAsia="仿宋_GB2312"/>
          <w:sz w:val="32"/>
          <w:szCs w:val="32"/>
        </w:rPr>
      </w:pPr>
      <w:bookmarkStart w:id="27" w:name="_Toc15378460"/>
      <w:bookmarkStart w:id="28" w:name="_Toc15377444"/>
      <w:bookmarkStart w:id="29" w:name="_Toc15377213"/>
      <w:r w:rsidRPr="003561BD">
        <w:rPr>
          <w:rFonts w:ascii="仿宋_GB2312" w:eastAsia="仿宋_GB2312" w:cs="仿宋_GB2312"/>
          <w:sz w:val="32"/>
          <w:szCs w:val="32"/>
        </w:rPr>
        <w:t>20</w:t>
      </w:r>
      <w:r w:rsidR="000C4FC7">
        <w:rPr>
          <w:rFonts w:ascii="仿宋_GB2312" w:eastAsia="仿宋_GB2312" w:cs="仿宋_GB2312" w:hint="eastAsia"/>
          <w:sz w:val="32"/>
          <w:szCs w:val="32"/>
        </w:rPr>
        <w:t>21</w:t>
      </w:r>
      <w:r w:rsidRPr="003561BD">
        <w:rPr>
          <w:rFonts w:ascii="仿宋_GB2312" w:eastAsia="仿宋_GB2312" w:cs="仿宋_GB2312" w:hint="eastAsia"/>
          <w:sz w:val="32"/>
          <w:szCs w:val="32"/>
        </w:rPr>
        <w:t>年</w:t>
      </w:r>
      <w:r w:rsidR="00E96840">
        <w:rPr>
          <w:rFonts w:ascii="仿宋_GB2312" w:eastAsia="仿宋_GB2312" w:cs="仿宋_GB2312" w:hint="eastAsia"/>
          <w:sz w:val="32"/>
          <w:szCs w:val="32"/>
        </w:rPr>
        <w:t>一</w:t>
      </w:r>
      <w:r w:rsidRPr="003561BD">
        <w:rPr>
          <w:rFonts w:ascii="仿宋_GB2312" w:eastAsia="仿宋_GB2312" w:cs="仿宋_GB2312" w:hint="eastAsia"/>
          <w:sz w:val="32"/>
          <w:szCs w:val="32"/>
        </w:rPr>
        <w:t>般公共预算支出决算数为</w:t>
      </w:r>
      <w:r w:rsidR="000C4FC7">
        <w:rPr>
          <w:rFonts w:ascii="仿宋_GB2312" w:eastAsia="仿宋_GB2312" w:cs="仿宋_GB2312" w:hint="eastAsia"/>
          <w:sz w:val="32"/>
          <w:szCs w:val="32"/>
        </w:rPr>
        <w:t>8799.17</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w:t>
      </w:r>
      <w:bookmarkEnd w:id="27"/>
      <w:bookmarkEnd w:id="28"/>
      <w:bookmarkEnd w:id="29"/>
    </w:p>
    <w:p w:rsidR="00FC2653" w:rsidRDefault="00387396" w:rsidP="00387396">
      <w:pPr>
        <w:spacing w:line="600" w:lineRule="exact"/>
        <w:ind w:firstLineChars="200" w:firstLine="640"/>
        <w:rPr>
          <w:rFonts w:ascii="仿宋_GB2312" w:eastAsia="仿宋_GB2312" w:cs="仿宋_GB2312"/>
          <w:sz w:val="32"/>
          <w:szCs w:val="32"/>
        </w:rPr>
      </w:pPr>
      <w:r w:rsidRPr="003561BD">
        <w:rPr>
          <w:rFonts w:ascii="仿宋_GB2312" w:eastAsia="仿宋_GB2312" w:cs="仿宋_GB2312"/>
          <w:sz w:val="32"/>
          <w:szCs w:val="32"/>
        </w:rPr>
        <w:t>1.</w:t>
      </w:r>
      <w:r w:rsidRPr="003561BD">
        <w:rPr>
          <w:rFonts w:ascii="仿宋_GB2312" w:eastAsia="仿宋_GB2312" w:cs="仿宋_GB2312" w:hint="eastAsia"/>
          <w:sz w:val="32"/>
          <w:szCs w:val="32"/>
        </w:rPr>
        <w:t>一般公共服务类</w:t>
      </w:r>
      <w:r w:rsidRPr="003561BD">
        <w:rPr>
          <w:rFonts w:ascii="仿宋_GB2312" w:eastAsia="仿宋_GB2312" w:cs="仿宋_GB2312"/>
          <w:sz w:val="32"/>
          <w:szCs w:val="32"/>
        </w:rPr>
        <w:t>,</w:t>
      </w:r>
      <w:r w:rsidR="00FC2653">
        <w:rPr>
          <w:rFonts w:ascii="仿宋_GB2312" w:eastAsia="仿宋_GB2312" w:cs="仿宋_GB2312" w:hint="eastAsia"/>
          <w:sz w:val="32"/>
          <w:szCs w:val="32"/>
        </w:rPr>
        <w:t>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w:t>
      </w:r>
      <w:r w:rsidRPr="003561BD">
        <w:rPr>
          <w:rFonts w:ascii="仿宋_GB2312" w:eastAsia="仿宋_GB2312" w:cs="仿宋_GB2312" w:hint="eastAsia"/>
          <w:sz w:val="32"/>
          <w:szCs w:val="32"/>
        </w:rPr>
        <w:t>教育类，无。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3.</w:t>
      </w:r>
      <w:r w:rsidRPr="003561BD">
        <w:rPr>
          <w:rFonts w:ascii="仿宋_GB2312" w:eastAsia="仿宋_GB2312" w:cs="仿宋_GB2312" w:hint="eastAsia"/>
          <w:sz w:val="32"/>
          <w:szCs w:val="32"/>
        </w:rPr>
        <w:t>科学技术类，无。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4.</w:t>
      </w:r>
      <w:r w:rsidRPr="003561BD">
        <w:rPr>
          <w:rFonts w:ascii="仿宋_GB2312" w:eastAsia="仿宋_GB2312" w:cs="仿宋_GB2312" w:hint="eastAsia"/>
          <w:sz w:val="32"/>
          <w:szCs w:val="32"/>
        </w:rPr>
        <w:t>文化体育与传媒类，无。</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5.</w:t>
      </w:r>
      <w:r w:rsidRPr="003561BD">
        <w:rPr>
          <w:rFonts w:ascii="仿宋_GB2312" w:eastAsia="仿宋_GB2312" w:cs="仿宋_GB2312" w:hint="eastAsia"/>
          <w:sz w:val="32"/>
          <w:szCs w:val="32"/>
        </w:rPr>
        <w:t>社会保障和就业类</w:t>
      </w:r>
      <w:r w:rsidR="00E96840">
        <w:rPr>
          <w:rFonts w:ascii="仿宋_GB2312" w:eastAsia="仿宋_GB2312" w:cs="仿宋_GB2312" w:hint="eastAsia"/>
          <w:sz w:val="32"/>
          <w:szCs w:val="32"/>
        </w:rPr>
        <w:t>627.15</w:t>
      </w:r>
      <w:r w:rsidR="00F84FF7">
        <w:rPr>
          <w:rFonts w:ascii="仿宋_GB2312" w:eastAsia="仿宋_GB2312" w:cs="仿宋_GB2312" w:hint="eastAsia"/>
          <w:sz w:val="32"/>
          <w:szCs w:val="32"/>
        </w:rPr>
        <w:t>万</w:t>
      </w:r>
      <w:r w:rsidRPr="003561BD">
        <w:rPr>
          <w:rFonts w:ascii="仿宋_GB2312" w:eastAsia="仿宋_GB2312" w:cs="仿宋_GB2312" w:hint="eastAsia"/>
          <w:sz w:val="32"/>
          <w:szCs w:val="32"/>
        </w:rPr>
        <w:t>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w:t>
      </w:r>
      <w:r w:rsidR="002011D5">
        <w:rPr>
          <w:rFonts w:ascii="仿宋_GB2312" w:eastAsia="仿宋_GB2312" w:cs="仿宋_GB2312" w:hint="eastAsia"/>
          <w:sz w:val="32"/>
          <w:szCs w:val="32"/>
        </w:rPr>
        <w:t>行政单位离退休</w:t>
      </w:r>
      <w:r w:rsidR="00E96840">
        <w:rPr>
          <w:rFonts w:ascii="仿宋_GB2312" w:eastAsia="仿宋_GB2312" w:cs="仿宋_GB2312" w:hint="eastAsia"/>
          <w:sz w:val="32"/>
          <w:szCs w:val="32"/>
        </w:rPr>
        <w:t>110.35</w:t>
      </w:r>
      <w:r w:rsidR="002011D5">
        <w:rPr>
          <w:rFonts w:ascii="仿宋_GB2312" w:eastAsia="仿宋_GB2312" w:cs="仿宋_GB2312" w:hint="eastAsia"/>
          <w:sz w:val="32"/>
          <w:szCs w:val="32"/>
        </w:rPr>
        <w:t>万元，</w:t>
      </w:r>
      <w:r w:rsidRPr="003561BD">
        <w:rPr>
          <w:rFonts w:ascii="仿宋_GB2312" w:eastAsia="仿宋_GB2312" w:cs="仿宋_GB2312" w:hint="eastAsia"/>
          <w:sz w:val="32"/>
          <w:szCs w:val="32"/>
        </w:rPr>
        <w:t>机关事业单位基本养老保险缴费支出</w:t>
      </w:r>
      <w:r w:rsidR="00E96840">
        <w:rPr>
          <w:rFonts w:ascii="仿宋_GB2312" w:eastAsia="仿宋_GB2312" w:cs="仿宋_GB2312" w:hint="eastAsia"/>
          <w:sz w:val="32"/>
          <w:szCs w:val="32"/>
        </w:rPr>
        <w:t>319.73</w:t>
      </w:r>
      <w:r w:rsidRPr="003561BD">
        <w:rPr>
          <w:rFonts w:ascii="仿宋_GB2312" w:eastAsia="仿宋_GB2312" w:cs="仿宋_GB2312" w:hint="eastAsia"/>
          <w:sz w:val="32"/>
          <w:szCs w:val="32"/>
        </w:rPr>
        <w:t>万元，机关事业单位职业年金缴费支出</w:t>
      </w:r>
      <w:r w:rsidR="00E96840">
        <w:rPr>
          <w:rFonts w:ascii="仿宋_GB2312" w:eastAsia="仿宋_GB2312" w:cs="仿宋_GB2312" w:hint="eastAsia"/>
          <w:sz w:val="32"/>
          <w:szCs w:val="32"/>
        </w:rPr>
        <w:t>174.12</w:t>
      </w:r>
      <w:r w:rsidRPr="003561BD">
        <w:rPr>
          <w:rFonts w:ascii="仿宋_GB2312" w:eastAsia="仿宋_GB2312" w:cs="仿宋_GB2312" w:hint="eastAsia"/>
          <w:sz w:val="32"/>
          <w:szCs w:val="32"/>
        </w:rPr>
        <w:t>万元，其他社会保障和就业支出</w:t>
      </w:r>
      <w:r w:rsidR="00E96840">
        <w:rPr>
          <w:rFonts w:ascii="仿宋_GB2312" w:eastAsia="仿宋_GB2312" w:cs="仿宋_GB2312" w:hint="eastAsia"/>
          <w:sz w:val="32"/>
          <w:szCs w:val="32"/>
        </w:rPr>
        <w:t>22.95</w:t>
      </w:r>
      <w:r w:rsidRPr="003561BD">
        <w:rPr>
          <w:rFonts w:ascii="仿宋_GB2312" w:eastAsia="仿宋_GB2312" w:cs="仿宋_GB2312" w:hint="eastAsia"/>
          <w:sz w:val="32"/>
          <w:szCs w:val="32"/>
        </w:rPr>
        <w:t>万元。</w:t>
      </w:r>
    </w:p>
    <w:p w:rsidR="00387396" w:rsidRPr="003561BD" w:rsidRDefault="00387396" w:rsidP="00387396">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6.</w:t>
      </w:r>
      <w:r w:rsidR="006B4C73">
        <w:rPr>
          <w:rFonts w:ascii="仿宋_GB2312" w:eastAsia="仿宋_GB2312" w:cs="仿宋_GB2312"/>
          <w:sz w:val="32"/>
          <w:szCs w:val="32"/>
        </w:rPr>
        <w:t>卫生健康支出</w:t>
      </w:r>
      <w:r w:rsidRPr="003561BD">
        <w:rPr>
          <w:rFonts w:ascii="仿宋_GB2312" w:eastAsia="仿宋_GB2312" w:cs="仿宋_GB2312" w:hint="eastAsia"/>
          <w:sz w:val="32"/>
          <w:szCs w:val="32"/>
        </w:rPr>
        <w:t>类</w:t>
      </w:r>
      <w:r w:rsidR="00E96840">
        <w:rPr>
          <w:rFonts w:ascii="仿宋_GB2312" w:eastAsia="仿宋_GB2312" w:cs="仿宋_GB2312" w:hint="eastAsia"/>
          <w:sz w:val="32"/>
          <w:szCs w:val="32"/>
        </w:rPr>
        <w:t>178.61</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其中行政单位医疗</w:t>
      </w:r>
      <w:r w:rsidR="00E96840">
        <w:rPr>
          <w:rFonts w:ascii="仿宋_GB2312" w:eastAsia="仿宋_GB2312" w:cs="仿宋_GB2312" w:hint="eastAsia"/>
          <w:sz w:val="32"/>
          <w:szCs w:val="32"/>
        </w:rPr>
        <w:t>48.08</w:t>
      </w:r>
      <w:r w:rsidR="00F84FF7">
        <w:rPr>
          <w:rFonts w:ascii="仿宋_GB2312" w:eastAsia="仿宋_GB2312" w:cs="仿宋_GB2312" w:hint="eastAsia"/>
          <w:sz w:val="32"/>
          <w:szCs w:val="32"/>
        </w:rPr>
        <w:t>万</w:t>
      </w:r>
      <w:r w:rsidRPr="003561BD">
        <w:rPr>
          <w:rFonts w:ascii="仿宋_GB2312" w:eastAsia="仿宋_GB2312" w:cs="仿宋_GB2312" w:hint="eastAsia"/>
          <w:sz w:val="32"/>
          <w:szCs w:val="32"/>
        </w:rPr>
        <w:t>元，事业单位医疗</w:t>
      </w:r>
      <w:r w:rsidR="00E96840">
        <w:rPr>
          <w:rFonts w:ascii="仿宋_GB2312" w:eastAsia="仿宋_GB2312" w:cs="仿宋_GB2312" w:hint="eastAsia"/>
          <w:sz w:val="32"/>
          <w:szCs w:val="32"/>
        </w:rPr>
        <w:t>130.53万元</w:t>
      </w:r>
      <w:r w:rsidRPr="003561BD">
        <w:rPr>
          <w:rFonts w:ascii="仿宋_GB2312" w:eastAsia="仿宋_GB2312" w:cs="仿宋_GB2312" w:hint="eastAsia"/>
          <w:sz w:val="32"/>
          <w:szCs w:val="32"/>
        </w:rPr>
        <w:t>。</w:t>
      </w:r>
    </w:p>
    <w:p w:rsidR="00075640" w:rsidRDefault="00387396" w:rsidP="00387396">
      <w:pPr>
        <w:spacing w:line="600" w:lineRule="exact"/>
        <w:ind w:firstLine="640"/>
        <w:rPr>
          <w:rFonts w:ascii="仿宋_GB2312" w:eastAsia="仿宋_GB2312" w:cs="仿宋_GB2312"/>
          <w:sz w:val="32"/>
          <w:szCs w:val="32"/>
        </w:rPr>
      </w:pPr>
      <w:r w:rsidRPr="003561BD">
        <w:rPr>
          <w:rFonts w:ascii="仿宋_GB2312" w:eastAsia="仿宋_GB2312" w:cs="仿宋_GB2312"/>
          <w:sz w:val="32"/>
          <w:szCs w:val="32"/>
        </w:rPr>
        <w:lastRenderedPageBreak/>
        <w:t>7.</w:t>
      </w:r>
      <w:r w:rsidRPr="003561BD">
        <w:rPr>
          <w:rFonts w:ascii="仿宋_GB2312" w:eastAsia="仿宋_GB2312" w:cs="仿宋_GB2312" w:hint="eastAsia"/>
          <w:sz w:val="32"/>
          <w:szCs w:val="32"/>
        </w:rPr>
        <w:t>节能环保类</w:t>
      </w:r>
      <w:r w:rsidR="00075640">
        <w:rPr>
          <w:rFonts w:ascii="仿宋_GB2312" w:eastAsia="仿宋_GB2312" w:cs="仿宋_GB2312" w:hint="eastAsia"/>
          <w:sz w:val="32"/>
          <w:szCs w:val="32"/>
        </w:rPr>
        <w:t>，无。</w:t>
      </w:r>
    </w:p>
    <w:p w:rsidR="00387396" w:rsidRPr="003561BD" w:rsidRDefault="00387396" w:rsidP="00387396">
      <w:pPr>
        <w:spacing w:line="600" w:lineRule="exact"/>
        <w:ind w:firstLine="640"/>
        <w:rPr>
          <w:rFonts w:ascii="仿宋_GB2312" w:eastAsia="仿宋_GB2312"/>
          <w:sz w:val="32"/>
          <w:szCs w:val="32"/>
        </w:rPr>
      </w:pPr>
      <w:r w:rsidRPr="003561BD">
        <w:rPr>
          <w:rFonts w:ascii="仿宋_GB2312" w:eastAsia="仿宋_GB2312" w:cs="仿宋_GB2312"/>
          <w:sz w:val="32"/>
          <w:szCs w:val="32"/>
        </w:rPr>
        <w:t>8.</w:t>
      </w:r>
      <w:r w:rsidRPr="003561BD">
        <w:rPr>
          <w:rFonts w:ascii="仿宋_GB2312" w:eastAsia="仿宋_GB2312" w:cs="仿宋_GB2312" w:hint="eastAsia"/>
          <w:sz w:val="32"/>
          <w:szCs w:val="32"/>
        </w:rPr>
        <w:t>城乡社区类</w:t>
      </w:r>
      <w:r w:rsidR="00E96840">
        <w:rPr>
          <w:rFonts w:ascii="仿宋_GB2312" w:eastAsia="仿宋_GB2312" w:cs="仿宋_GB2312" w:hint="eastAsia"/>
          <w:sz w:val="32"/>
          <w:szCs w:val="32"/>
        </w:rPr>
        <w:t>7508.5</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其中行政运行</w:t>
      </w:r>
      <w:r w:rsidR="00E96840">
        <w:rPr>
          <w:rFonts w:ascii="仿宋_GB2312" w:eastAsia="仿宋_GB2312" w:cs="仿宋_GB2312" w:hint="eastAsia"/>
          <w:sz w:val="32"/>
          <w:szCs w:val="32"/>
        </w:rPr>
        <w:t>997.28</w:t>
      </w:r>
      <w:r w:rsidRPr="003561BD">
        <w:rPr>
          <w:rFonts w:ascii="仿宋_GB2312" w:eastAsia="仿宋_GB2312" w:cs="仿宋_GB2312" w:hint="eastAsia"/>
          <w:sz w:val="32"/>
          <w:szCs w:val="32"/>
        </w:rPr>
        <w:t>万元，城管执法</w:t>
      </w:r>
      <w:r w:rsidR="00E96840">
        <w:rPr>
          <w:rFonts w:ascii="仿宋_GB2312" w:eastAsia="仿宋_GB2312" w:cs="仿宋_GB2312" w:hint="eastAsia"/>
          <w:sz w:val="32"/>
          <w:szCs w:val="32"/>
        </w:rPr>
        <w:t>2129.06</w:t>
      </w:r>
      <w:r w:rsidRPr="003561BD">
        <w:rPr>
          <w:rFonts w:ascii="仿宋_GB2312" w:eastAsia="仿宋_GB2312" w:cs="仿宋_GB2312" w:hint="eastAsia"/>
          <w:sz w:val="32"/>
          <w:szCs w:val="32"/>
        </w:rPr>
        <w:t>万元，其他城乡社区管理事务支出</w:t>
      </w:r>
      <w:r w:rsidR="00E96840">
        <w:rPr>
          <w:rFonts w:ascii="仿宋_GB2312" w:eastAsia="仿宋_GB2312" w:cs="仿宋_GB2312" w:hint="eastAsia"/>
          <w:sz w:val="32"/>
          <w:szCs w:val="32"/>
        </w:rPr>
        <w:t>3607.12</w:t>
      </w:r>
      <w:r w:rsidRPr="003561BD">
        <w:rPr>
          <w:rFonts w:ascii="仿宋_GB2312" w:eastAsia="仿宋_GB2312" w:cs="仿宋_GB2312" w:hint="eastAsia"/>
          <w:sz w:val="32"/>
          <w:szCs w:val="32"/>
        </w:rPr>
        <w:t>万元，其他城乡社区公共设施支出</w:t>
      </w:r>
      <w:r w:rsidR="00E96840">
        <w:rPr>
          <w:rFonts w:ascii="仿宋_GB2312" w:eastAsia="仿宋_GB2312" w:cs="仿宋_GB2312" w:hint="eastAsia"/>
          <w:sz w:val="32"/>
          <w:szCs w:val="32"/>
        </w:rPr>
        <w:t>675.13</w:t>
      </w:r>
      <w:r w:rsidRPr="003561BD">
        <w:rPr>
          <w:rFonts w:ascii="仿宋_GB2312" w:eastAsia="仿宋_GB2312" w:cs="仿宋_GB2312" w:hint="eastAsia"/>
          <w:sz w:val="32"/>
          <w:szCs w:val="32"/>
        </w:rPr>
        <w:t>万元，城乡社区环境卫生支出</w:t>
      </w:r>
      <w:r w:rsidR="00E96840">
        <w:rPr>
          <w:rFonts w:ascii="仿宋_GB2312" w:eastAsia="仿宋_GB2312" w:cs="仿宋_GB2312" w:hint="eastAsia"/>
          <w:sz w:val="32"/>
          <w:szCs w:val="32"/>
        </w:rPr>
        <w:t>99.91</w:t>
      </w:r>
      <w:r w:rsidR="00202685">
        <w:rPr>
          <w:rFonts w:ascii="仿宋_GB2312" w:eastAsia="仿宋_GB2312" w:cs="仿宋_GB2312" w:hint="eastAsia"/>
          <w:sz w:val="32"/>
          <w:szCs w:val="32"/>
        </w:rPr>
        <w:t>万元</w:t>
      </w:r>
      <w:r w:rsidRPr="003561BD">
        <w:rPr>
          <w:rFonts w:ascii="仿宋_GB2312" w:eastAsia="仿宋_GB2312" w:cs="仿宋_GB2312" w:hint="eastAsia"/>
          <w:sz w:val="32"/>
          <w:szCs w:val="32"/>
        </w:rPr>
        <w:t>。</w:t>
      </w:r>
    </w:p>
    <w:p w:rsidR="00387396" w:rsidRDefault="00387396" w:rsidP="00387396">
      <w:pPr>
        <w:spacing w:line="600" w:lineRule="exact"/>
        <w:ind w:firstLine="640"/>
        <w:rPr>
          <w:rFonts w:ascii="仿宋_GB2312" w:eastAsia="仿宋_GB2312" w:cs="仿宋_GB2312"/>
          <w:sz w:val="32"/>
          <w:szCs w:val="32"/>
        </w:rPr>
      </w:pPr>
      <w:r w:rsidRPr="003561BD">
        <w:rPr>
          <w:rFonts w:ascii="仿宋_GB2312" w:eastAsia="仿宋_GB2312" w:cs="仿宋_GB2312"/>
          <w:sz w:val="32"/>
          <w:szCs w:val="32"/>
        </w:rPr>
        <w:t>9.</w:t>
      </w:r>
      <w:r w:rsidRPr="003561BD">
        <w:rPr>
          <w:rFonts w:ascii="仿宋_GB2312" w:eastAsia="仿宋_GB2312" w:cs="仿宋_GB2312" w:hint="eastAsia"/>
          <w:sz w:val="32"/>
          <w:szCs w:val="32"/>
        </w:rPr>
        <w:t>住房保障类</w:t>
      </w:r>
      <w:r w:rsidR="00E96840">
        <w:rPr>
          <w:rFonts w:ascii="仿宋_GB2312" w:eastAsia="仿宋_GB2312" w:cs="仿宋_GB2312" w:hint="eastAsia"/>
          <w:sz w:val="32"/>
          <w:szCs w:val="32"/>
        </w:rPr>
        <w:t>484.91</w:t>
      </w:r>
      <w:r w:rsidRPr="003561BD">
        <w:rPr>
          <w:rFonts w:ascii="仿宋_GB2312" w:eastAsia="仿宋_GB2312" w:cs="仿宋_GB2312" w:hint="eastAsia"/>
          <w:sz w:val="32"/>
          <w:szCs w:val="32"/>
        </w:rPr>
        <w:t>万元，</w:t>
      </w:r>
      <w:r w:rsidR="00983243">
        <w:rPr>
          <w:rFonts w:ascii="仿宋_GB2312" w:eastAsia="仿宋_GB2312" w:cs="仿宋_GB2312" w:hint="eastAsia"/>
          <w:sz w:val="32"/>
          <w:szCs w:val="32"/>
        </w:rPr>
        <w:t>完成预算数的100%。</w:t>
      </w:r>
      <w:r w:rsidRPr="003561BD">
        <w:rPr>
          <w:rFonts w:ascii="仿宋_GB2312" w:eastAsia="仿宋_GB2312" w:cs="仿宋_GB2312" w:hint="eastAsia"/>
          <w:sz w:val="32"/>
          <w:szCs w:val="32"/>
        </w:rPr>
        <w:t>其中住房公积金支出</w:t>
      </w:r>
      <w:r w:rsidR="00E96840">
        <w:rPr>
          <w:rFonts w:ascii="仿宋_GB2312" w:eastAsia="仿宋_GB2312" w:cs="仿宋_GB2312" w:hint="eastAsia"/>
          <w:sz w:val="32"/>
          <w:szCs w:val="32"/>
        </w:rPr>
        <w:t>484.91</w:t>
      </w:r>
      <w:r w:rsidRPr="003561BD">
        <w:rPr>
          <w:rFonts w:ascii="仿宋_GB2312" w:eastAsia="仿宋_GB2312" w:cs="仿宋_GB2312" w:hint="eastAsia"/>
          <w:sz w:val="32"/>
          <w:szCs w:val="32"/>
        </w:rPr>
        <w:t>万元。</w:t>
      </w:r>
    </w:p>
    <w:p w:rsidR="00387396" w:rsidRPr="008E2557" w:rsidRDefault="00387396" w:rsidP="00387396">
      <w:pPr>
        <w:tabs>
          <w:tab w:val="right" w:pos="8306"/>
        </w:tabs>
        <w:spacing w:line="600" w:lineRule="exact"/>
        <w:ind w:firstLine="640"/>
        <w:outlineLvl w:val="1"/>
        <w:rPr>
          <w:rFonts w:ascii="黑体" w:eastAsia="黑体" w:hAnsi="黑体"/>
          <w:bCs/>
          <w:color w:val="000000"/>
          <w:sz w:val="32"/>
          <w:szCs w:val="32"/>
        </w:rPr>
      </w:pPr>
      <w:bookmarkStart w:id="30" w:name="_Toc15377214"/>
      <w:bookmarkStart w:id="31" w:name="_Toc15396608"/>
      <w:r w:rsidRPr="008E2557">
        <w:rPr>
          <w:rFonts w:ascii="黑体" w:eastAsia="黑体" w:hAnsi="黑体" w:cs="仿宋" w:hint="eastAsia"/>
          <w:bCs/>
          <w:color w:val="000000"/>
          <w:sz w:val="32"/>
          <w:szCs w:val="32"/>
        </w:rPr>
        <w:t>六、一般公共预算财政拨款基本支出决算情况说明</w:t>
      </w:r>
      <w:bookmarkEnd w:id="30"/>
      <w:bookmarkEnd w:id="31"/>
      <w:r w:rsidRPr="008E2557">
        <w:rPr>
          <w:rFonts w:ascii="黑体" w:eastAsia="黑体" w:hAnsi="黑体"/>
          <w:bCs/>
          <w:color w:val="000000"/>
          <w:sz w:val="32"/>
          <w:szCs w:val="32"/>
        </w:rPr>
        <w:tab/>
      </w:r>
    </w:p>
    <w:p w:rsidR="00387396" w:rsidRPr="003561BD" w:rsidRDefault="00387396" w:rsidP="00387396">
      <w:pPr>
        <w:spacing w:line="600" w:lineRule="exact"/>
        <w:ind w:firstLine="645"/>
        <w:rPr>
          <w:rFonts w:ascii="仿宋_GB2312" w:eastAsia="仿宋_GB2312"/>
          <w:sz w:val="32"/>
          <w:szCs w:val="32"/>
        </w:rPr>
      </w:pPr>
      <w:r w:rsidRPr="003A12D4">
        <w:rPr>
          <w:rFonts w:ascii="仿宋_GB2312" w:eastAsia="仿宋_GB2312" w:cs="仿宋_GB2312"/>
          <w:sz w:val="32"/>
          <w:szCs w:val="32"/>
        </w:rPr>
        <w:t>20</w:t>
      </w:r>
      <w:r w:rsidR="009A3B52">
        <w:rPr>
          <w:rFonts w:ascii="仿宋_GB2312" w:eastAsia="仿宋_GB2312" w:cs="仿宋_GB2312" w:hint="eastAsia"/>
          <w:sz w:val="32"/>
          <w:szCs w:val="32"/>
        </w:rPr>
        <w:t>21</w:t>
      </w:r>
      <w:r w:rsidRPr="003A12D4">
        <w:rPr>
          <w:rFonts w:ascii="仿宋_GB2312" w:eastAsia="仿宋_GB2312" w:cs="仿宋_GB2312" w:hint="eastAsia"/>
          <w:sz w:val="32"/>
          <w:szCs w:val="32"/>
        </w:rPr>
        <w:t>年一般公共预算财政拨款基本支</w:t>
      </w:r>
      <w:r w:rsidRPr="003561BD">
        <w:rPr>
          <w:rFonts w:ascii="仿宋_GB2312" w:eastAsia="仿宋_GB2312" w:cs="仿宋_GB2312" w:hint="eastAsia"/>
          <w:sz w:val="32"/>
          <w:szCs w:val="32"/>
        </w:rPr>
        <w:t>出</w:t>
      </w:r>
      <w:r w:rsidR="009A3B52">
        <w:rPr>
          <w:rFonts w:ascii="仿宋_GB2312" w:eastAsia="仿宋_GB2312" w:cs="仿宋_GB2312" w:hint="eastAsia"/>
          <w:sz w:val="32"/>
          <w:szCs w:val="32"/>
        </w:rPr>
        <w:t>5857.28</w:t>
      </w:r>
      <w:r w:rsidRPr="003561BD">
        <w:rPr>
          <w:rFonts w:ascii="仿宋_GB2312" w:eastAsia="仿宋_GB2312" w:cs="仿宋_GB2312" w:hint="eastAsia"/>
          <w:sz w:val="32"/>
          <w:szCs w:val="32"/>
        </w:rPr>
        <w:t>万元，其中：</w:t>
      </w:r>
    </w:p>
    <w:p w:rsidR="00387396" w:rsidRPr="003561BD" w:rsidRDefault="00387396" w:rsidP="00387396">
      <w:pPr>
        <w:spacing w:line="600" w:lineRule="exact"/>
        <w:ind w:firstLine="645"/>
        <w:rPr>
          <w:rFonts w:ascii="仿宋_GB2312" w:eastAsia="仿宋_GB2312"/>
          <w:sz w:val="32"/>
          <w:szCs w:val="32"/>
        </w:rPr>
      </w:pPr>
      <w:r w:rsidRPr="003561BD">
        <w:rPr>
          <w:rFonts w:ascii="仿宋_GB2312" w:eastAsia="仿宋_GB2312" w:cs="仿宋_GB2312" w:hint="eastAsia"/>
          <w:sz w:val="32"/>
          <w:szCs w:val="32"/>
        </w:rPr>
        <w:t>人员经费</w:t>
      </w:r>
      <w:r w:rsidR="009A3B52">
        <w:rPr>
          <w:rFonts w:ascii="仿宋_GB2312" w:eastAsia="仿宋_GB2312" w:cs="仿宋_GB2312" w:hint="eastAsia"/>
          <w:sz w:val="32"/>
          <w:szCs w:val="32"/>
        </w:rPr>
        <w:t>5238.55</w:t>
      </w:r>
      <w:r w:rsidRPr="003561BD">
        <w:rPr>
          <w:rFonts w:ascii="仿宋_GB2312" w:eastAsia="仿宋_GB2312" w:cs="仿宋_GB2312" w:hint="eastAsia"/>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提租补贴、购房补贴、其他对个人和家庭的补助支出等。</w:t>
      </w:r>
      <w:r w:rsidRPr="003561BD">
        <w:rPr>
          <w:rFonts w:ascii="仿宋_GB2312" w:eastAsia="仿宋_GB2312"/>
          <w:sz w:val="32"/>
          <w:szCs w:val="32"/>
        </w:rPr>
        <w:br/>
      </w:r>
      <w:r w:rsidRPr="003561BD">
        <w:rPr>
          <w:rFonts w:ascii="仿宋_GB2312" w:eastAsia="仿宋_GB2312" w:cs="仿宋_GB2312" w:hint="eastAsia"/>
          <w:sz w:val="32"/>
          <w:szCs w:val="32"/>
        </w:rPr>
        <w:t xml:space="preserve">　　公用经费</w:t>
      </w:r>
      <w:r w:rsidR="009A3B52">
        <w:rPr>
          <w:rFonts w:ascii="仿宋_GB2312" w:eastAsia="仿宋_GB2312" w:cs="仿宋_GB2312" w:hint="eastAsia"/>
          <w:sz w:val="32"/>
          <w:szCs w:val="32"/>
        </w:rPr>
        <w:t>618.73</w:t>
      </w:r>
      <w:r w:rsidRPr="003561BD">
        <w:rPr>
          <w:rFonts w:ascii="仿宋_GB2312" w:eastAsia="仿宋_GB2312" w:cs="仿宋_GB2312" w:hint="eastAsia"/>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rsidR="00387396" w:rsidRPr="008E2557" w:rsidRDefault="00387396" w:rsidP="00387396">
      <w:pPr>
        <w:spacing w:line="600" w:lineRule="exact"/>
        <w:ind w:firstLine="640"/>
        <w:outlineLvl w:val="1"/>
        <w:rPr>
          <w:rFonts w:ascii="黑体" w:eastAsia="黑体" w:hAnsi="黑体"/>
          <w:bCs/>
          <w:color w:val="000000"/>
          <w:sz w:val="32"/>
          <w:szCs w:val="32"/>
        </w:rPr>
      </w:pPr>
      <w:bookmarkStart w:id="32" w:name="_Toc15377215"/>
      <w:bookmarkStart w:id="33" w:name="_Toc15396609"/>
      <w:r w:rsidRPr="008E2557">
        <w:rPr>
          <w:rFonts w:ascii="黑体" w:eastAsia="黑体" w:hAnsi="黑体" w:cs="仿宋" w:hint="eastAsia"/>
          <w:bCs/>
          <w:color w:val="000000"/>
          <w:sz w:val="32"/>
          <w:szCs w:val="32"/>
        </w:rPr>
        <w:lastRenderedPageBreak/>
        <w:t>七、“三公”经费财政拨款支出决算情况说明</w:t>
      </w:r>
      <w:bookmarkEnd w:id="32"/>
      <w:bookmarkEnd w:id="33"/>
    </w:p>
    <w:p w:rsidR="00387396" w:rsidRDefault="00387396" w:rsidP="00387396">
      <w:pPr>
        <w:spacing w:line="600" w:lineRule="exact"/>
        <w:ind w:firstLine="640"/>
        <w:outlineLvl w:val="2"/>
        <w:rPr>
          <w:rFonts w:ascii="仿宋" w:eastAsia="仿宋" w:hAnsi="仿宋"/>
          <w:b/>
          <w:bCs/>
          <w:color w:val="000000"/>
          <w:sz w:val="32"/>
          <w:szCs w:val="32"/>
        </w:rPr>
      </w:pPr>
      <w:bookmarkStart w:id="34" w:name="_Toc15377216"/>
      <w:r>
        <w:rPr>
          <w:rFonts w:ascii="仿宋" w:eastAsia="仿宋" w:hAnsi="仿宋" w:cs="仿宋" w:hint="eastAsia"/>
          <w:b/>
          <w:bCs/>
          <w:color w:val="000000"/>
          <w:sz w:val="32"/>
          <w:szCs w:val="32"/>
        </w:rPr>
        <w:t>（一）“三公”经费财政拨款支出决算总体情况说明</w:t>
      </w:r>
      <w:bookmarkEnd w:id="34"/>
    </w:p>
    <w:p w:rsidR="00387396" w:rsidRPr="003561BD" w:rsidRDefault="00387396" w:rsidP="000F53CF">
      <w:pPr>
        <w:spacing w:line="600" w:lineRule="exact"/>
        <w:ind w:firstLineChars="200" w:firstLine="640"/>
        <w:rPr>
          <w:rFonts w:ascii="仿宋_GB2312" w:eastAsia="仿宋_GB2312"/>
          <w:sz w:val="32"/>
          <w:szCs w:val="32"/>
        </w:rPr>
      </w:pPr>
      <w:r w:rsidRPr="003561BD">
        <w:rPr>
          <w:rFonts w:ascii="仿宋_GB2312" w:eastAsia="仿宋_GB2312" w:cs="仿宋_GB2312"/>
          <w:sz w:val="32"/>
          <w:szCs w:val="32"/>
        </w:rPr>
        <w:t>20</w:t>
      </w:r>
      <w:r w:rsidR="002057A2">
        <w:rPr>
          <w:rFonts w:ascii="仿宋_GB2312" w:eastAsia="仿宋_GB2312" w:cs="仿宋_GB2312" w:hint="eastAsia"/>
          <w:sz w:val="32"/>
          <w:szCs w:val="32"/>
        </w:rPr>
        <w:t>21</w:t>
      </w:r>
      <w:r w:rsidRPr="003561BD">
        <w:rPr>
          <w:rFonts w:ascii="仿宋_GB2312" w:eastAsia="仿宋_GB2312" w:cs="仿宋_GB2312" w:hint="eastAsia"/>
          <w:sz w:val="32"/>
          <w:szCs w:val="32"/>
        </w:rPr>
        <w:t>年“三公”经费财政拨款支出决算为</w:t>
      </w:r>
      <w:r w:rsidR="002057A2">
        <w:rPr>
          <w:rFonts w:ascii="宋体" w:hAnsi="宋体" w:cs="仿宋" w:hint="eastAsia"/>
          <w:sz w:val="30"/>
          <w:szCs w:val="30"/>
        </w:rPr>
        <w:t>131.65</w:t>
      </w:r>
      <w:r w:rsidR="00CD55A5">
        <w:rPr>
          <w:rFonts w:ascii="宋体" w:hAnsi="宋体" w:cs="仿宋" w:hint="eastAsia"/>
          <w:sz w:val="30"/>
          <w:szCs w:val="30"/>
        </w:rPr>
        <w:t>万</w:t>
      </w:r>
      <w:r w:rsidRPr="003561BD">
        <w:rPr>
          <w:rFonts w:ascii="仿宋_GB2312" w:eastAsia="仿宋_GB2312" w:cs="仿宋_GB2312" w:hint="eastAsia"/>
          <w:sz w:val="32"/>
          <w:szCs w:val="32"/>
        </w:rPr>
        <w:t>元，完成预算</w:t>
      </w:r>
      <w:r w:rsidR="002057A2">
        <w:rPr>
          <w:rFonts w:ascii="仿宋_GB2312" w:eastAsia="仿宋_GB2312" w:cs="仿宋_GB2312" w:hint="eastAsia"/>
          <w:sz w:val="32"/>
          <w:szCs w:val="32"/>
        </w:rPr>
        <w:t>124.20</w:t>
      </w:r>
      <w:r w:rsidRPr="003561BD">
        <w:rPr>
          <w:rFonts w:ascii="仿宋_GB2312" w:eastAsia="仿宋_GB2312" w:cs="仿宋_GB2312"/>
          <w:sz w:val="32"/>
          <w:szCs w:val="32"/>
        </w:rPr>
        <w:t>%</w:t>
      </w:r>
      <w:r w:rsidR="00A93BD9" w:rsidRPr="001C2A66">
        <w:rPr>
          <w:rFonts w:ascii="仿宋_GB2312" w:eastAsia="仿宋_GB2312" w:cs="仿宋_GB2312" w:hint="eastAsia"/>
          <w:color w:val="000000" w:themeColor="text1"/>
          <w:sz w:val="32"/>
          <w:szCs w:val="32"/>
        </w:rPr>
        <w:t>。</w:t>
      </w:r>
      <w:bookmarkStart w:id="35" w:name="OLE_LINK10"/>
      <w:r w:rsidR="00A93BD9" w:rsidRPr="001C2A66">
        <w:rPr>
          <w:rFonts w:ascii="仿宋_GB2312" w:eastAsia="仿宋_GB2312" w:cs="仿宋_GB2312" w:hint="eastAsia"/>
          <w:color w:val="000000" w:themeColor="text1"/>
          <w:sz w:val="32"/>
          <w:szCs w:val="32"/>
        </w:rPr>
        <w:t>与</w:t>
      </w:r>
      <w:r w:rsidR="00A93BD9" w:rsidRPr="001C2A66">
        <w:rPr>
          <w:rFonts w:ascii="仿宋_GB2312" w:eastAsia="仿宋_GB2312" w:cs="仿宋_GB2312"/>
          <w:color w:val="000000" w:themeColor="text1"/>
          <w:sz w:val="32"/>
          <w:szCs w:val="32"/>
        </w:rPr>
        <w:t>20</w:t>
      </w:r>
      <w:r w:rsidR="002057A2">
        <w:rPr>
          <w:rFonts w:ascii="仿宋_GB2312" w:eastAsia="仿宋_GB2312" w:cs="仿宋_GB2312" w:hint="eastAsia"/>
          <w:color w:val="000000" w:themeColor="text1"/>
          <w:sz w:val="32"/>
          <w:szCs w:val="32"/>
        </w:rPr>
        <w:t>20</w:t>
      </w:r>
      <w:r w:rsidR="00A93BD9" w:rsidRPr="001C2A66">
        <w:rPr>
          <w:rFonts w:ascii="仿宋_GB2312" w:eastAsia="仿宋_GB2312" w:cs="仿宋_GB2312" w:hint="eastAsia"/>
          <w:color w:val="000000" w:themeColor="text1"/>
          <w:sz w:val="32"/>
          <w:szCs w:val="32"/>
        </w:rPr>
        <w:t>年相比，“三公”经费财政拨款支出</w:t>
      </w:r>
      <w:r w:rsidR="001A03E0" w:rsidRPr="001C2A66">
        <w:rPr>
          <w:rFonts w:ascii="仿宋_GB2312" w:eastAsia="仿宋_GB2312" w:cs="仿宋_GB2312" w:hint="eastAsia"/>
          <w:color w:val="000000" w:themeColor="text1"/>
          <w:sz w:val="32"/>
          <w:szCs w:val="32"/>
        </w:rPr>
        <w:t>增加</w:t>
      </w:r>
      <w:r w:rsidR="002057A2">
        <w:rPr>
          <w:rFonts w:ascii="仿宋_GB2312" w:eastAsia="仿宋_GB2312" w:cs="仿宋_GB2312" w:hint="eastAsia"/>
          <w:color w:val="000000" w:themeColor="text1"/>
          <w:sz w:val="32"/>
          <w:szCs w:val="32"/>
        </w:rPr>
        <w:t>5.78</w:t>
      </w:r>
      <w:r w:rsidR="00A93BD9" w:rsidRPr="001C2A66">
        <w:rPr>
          <w:rFonts w:ascii="仿宋_GB2312" w:eastAsia="仿宋_GB2312" w:cs="仿宋_GB2312" w:hint="eastAsia"/>
          <w:color w:val="000000" w:themeColor="text1"/>
          <w:sz w:val="32"/>
          <w:szCs w:val="32"/>
        </w:rPr>
        <w:t>万元，</w:t>
      </w:r>
      <w:r w:rsidR="001A03E0" w:rsidRPr="001C2A66">
        <w:rPr>
          <w:rFonts w:ascii="仿宋_GB2312" w:eastAsia="仿宋_GB2312" w:cs="仿宋_GB2312" w:hint="eastAsia"/>
          <w:color w:val="000000" w:themeColor="text1"/>
          <w:sz w:val="32"/>
          <w:szCs w:val="32"/>
        </w:rPr>
        <w:t>增加</w:t>
      </w:r>
      <w:r w:rsidR="002057A2">
        <w:rPr>
          <w:rFonts w:ascii="仿宋_GB2312" w:eastAsia="仿宋_GB2312" w:cs="仿宋_GB2312" w:hint="eastAsia"/>
          <w:color w:val="000000" w:themeColor="text1"/>
          <w:sz w:val="32"/>
          <w:szCs w:val="32"/>
        </w:rPr>
        <w:t>4.59</w:t>
      </w:r>
      <w:r w:rsidR="00A93BD9" w:rsidRPr="001C2A66">
        <w:rPr>
          <w:rFonts w:ascii="仿宋_GB2312" w:eastAsia="仿宋_GB2312" w:cs="仿宋_GB2312"/>
          <w:color w:val="000000" w:themeColor="text1"/>
          <w:sz w:val="32"/>
          <w:szCs w:val="32"/>
        </w:rPr>
        <w:t>%</w:t>
      </w:r>
      <w:r w:rsidR="00A93BD9" w:rsidRPr="001C2A66">
        <w:rPr>
          <w:rFonts w:ascii="仿宋_GB2312" w:eastAsia="仿宋_GB2312" w:cs="仿宋_GB2312" w:hint="eastAsia"/>
          <w:color w:val="000000" w:themeColor="text1"/>
          <w:sz w:val="32"/>
          <w:szCs w:val="32"/>
        </w:rPr>
        <w:t>。主要变动</w:t>
      </w:r>
      <w:r w:rsidR="001A03E0" w:rsidRPr="001C2A66">
        <w:rPr>
          <w:rFonts w:ascii="仿宋_GB2312" w:eastAsia="仿宋_GB2312" w:cs="仿宋_GB2312" w:hint="eastAsia"/>
          <w:color w:val="000000" w:themeColor="text1"/>
          <w:sz w:val="32"/>
          <w:szCs w:val="32"/>
        </w:rPr>
        <w:t>原因</w:t>
      </w:r>
      <w:r w:rsidR="001C2A66">
        <w:rPr>
          <w:rFonts w:ascii="仿宋_GB2312" w:eastAsia="仿宋_GB2312" w:cs="仿宋_GB2312" w:hint="eastAsia"/>
          <w:sz w:val="32"/>
          <w:szCs w:val="32"/>
        </w:rPr>
        <w:t>公务</w:t>
      </w:r>
      <w:r w:rsidR="001A03E0">
        <w:rPr>
          <w:rFonts w:ascii="仿宋_GB2312" w:eastAsia="仿宋_GB2312" w:cs="仿宋_GB2312" w:hint="eastAsia"/>
          <w:sz w:val="32"/>
          <w:szCs w:val="32"/>
        </w:rPr>
        <w:t>车辆购置</w:t>
      </w:r>
      <w:r w:rsidR="00A93BD9" w:rsidRPr="00C3497D">
        <w:rPr>
          <w:rFonts w:ascii="仿宋_GB2312" w:eastAsia="仿宋_GB2312" w:cs="仿宋_GB2312" w:hint="eastAsia"/>
          <w:sz w:val="32"/>
          <w:szCs w:val="32"/>
        </w:rPr>
        <w:t>。</w:t>
      </w:r>
      <w:bookmarkEnd w:id="35"/>
    </w:p>
    <w:p w:rsidR="00387396" w:rsidRDefault="00387396" w:rsidP="00387396">
      <w:pPr>
        <w:spacing w:line="600" w:lineRule="exact"/>
        <w:ind w:firstLine="640"/>
        <w:outlineLvl w:val="2"/>
        <w:rPr>
          <w:rFonts w:ascii="仿宋" w:eastAsia="仿宋" w:hAnsi="仿宋"/>
          <w:b/>
          <w:bCs/>
          <w:color w:val="000000"/>
          <w:sz w:val="32"/>
          <w:szCs w:val="32"/>
        </w:rPr>
      </w:pPr>
      <w:bookmarkStart w:id="36" w:name="_Toc15377217"/>
      <w:r>
        <w:rPr>
          <w:rFonts w:ascii="仿宋" w:eastAsia="仿宋" w:hAnsi="仿宋" w:cs="仿宋" w:hint="eastAsia"/>
          <w:b/>
          <w:bCs/>
          <w:color w:val="000000"/>
          <w:sz w:val="32"/>
          <w:szCs w:val="32"/>
        </w:rPr>
        <w:t>（二）“三公”经费财政拨款支出决算具体情况说明</w:t>
      </w:r>
      <w:bookmarkEnd w:id="36"/>
    </w:p>
    <w:p w:rsidR="00387396" w:rsidRPr="003561BD" w:rsidRDefault="00387396" w:rsidP="00387396">
      <w:pPr>
        <w:spacing w:line="600" w:lineRule="exact"/>
        <w:ind w:firstLine="640"/>
        <w:rPr>
          <w:rFonts w:ascii="仿宋_GB2312" w:eastAsia="仿宋_GB2312"/>
          <w:sz w:val="32"/>
          <w:szCs w:val="32"/>
        </w:rPr>
      </w:pPr>
      <w:r w:rsidRPr="003561BD">
        <w:rPr>
          <w:rFonts w:ascii="仿宋_GB2312" w:eastAsia="仿宋_GB2312" w:cs="仿宋_GB2312"/>
          <w:sz w:val="32"/>
          <w:szCs w:val="32"/>
        </w:rPr>
        <w:t>20</w:t>
      </w:r>
      <w:r w:rsidR="00A957E3">
        <w:rPr>
          <w:rFonts w:ascii="仿宋_GB2312" w:eastAsia="仿宋_GB2312" w:cs="仿宋_GB2312" w:hint="eastAsia"/>
          <w:sz w:val="32"/>
          <w:szCs w:val="32"/>
        </w:rPr>
        <w:t>21</w:t>
      </w:r>
      <w:r w:rsidRPr="003561BD">
        <w:rPr>
          <w:rFonts w:ascii="仿宋_GB2312" w:eastAsia="仿宋_GB2312" w:cs="仿宋_GB2312" w:hint="eastAsia"/>
          <w:sz w:val="32"/>
          <w:szCs w:val="32"/>
        </w:rPr>
        <w:t>年“三公”经费财政拨款支出决算中，因公出国（境）费支出</w:t>
      </w:r>
      <w:r w:rsidRPr="00A32807">
        <w:rPr>
          <w:rFonts w:ascii="仿宋_GB2312" w:eastAsia="仿宋_GB2312" w:cs="仿宋_GB2312" w:hint="eastAsia"/>
          <w:color w:val="000000" w:themeColor="text1"/>
          <w:sz w:val="32"/>
          <w:szCs w:val="32"/>
        </w:rPr>
        <w:t>决算</w:t>
      </w:r>
      <w:r w:rsidR="00DB2D00" w:rsidRPr="00A32807">
        <w:rPr>
          <w:rFonts w:ascii="仿宋_GB2312" w:eastAsia="仿宋_GB2312" w:cs="仿宋_GB2312" w:hint="eastAsia"/>
          <w:color w:val="000000" w:themeColor="text1"/>
          <w:sz w:val="32"/>
          <w:szCs w:val="32"/>
        </w:rPr>
        <w:t>0</w:t>
      </w:r>
      <w:r w:rsidRPr="00A32807">
        <w:rPr>
          <w:rFonts w:ascii="仿宋_GB2312" w:eastAsia="仿宋_GB2312" w:cs="仿宋_GB2312" w:hint="eastAsia"/>
          <w:color w:val="000000" w:themeColor="text1"/>
          <w:sz w:val="32"/>
          <w:szCs w:val="32"/>
        </w:rPr>
        <w:t>万元</w:t>
      </w:r>
      <w:r w:rsidRPr="003561BD">
        <w:rPr>
          <w:rFonts w:ascii="仿宋_GB2312" w:eastAsia="仿宋_GB2312" w:cs="仿宋_GB2312" w:hint="eastAsia"/>
          <w:sz w:val="32"/>
          <w:szCs w:val="32"/>
        </w:rPr>
        <w:t>；公务用车购置及运行维护费支出决算</w:t>
      </w:r>
      <w:r w:rsidR="00A957E3">
        <w:rPr>
          <w:rFonts w:ascii="仿宋_GB2312" w:eastAsia="仿宋_GB2312" w:cs="仿宋_GB2312" w:hint="eastAsia"/>
          <w:sz w:val="32"/>
          <w:szCs w:val="32"/>
        </w:rPr>
        <w:t>130.88</w:t>
      </w:r>
      <w:r w:rsidRPr="003561BD">
        <w:rPr>
          <w:rFonts w:ascii="仿宋_GB2312" w:eastAsia="仿宋_GB2312" w:cs="仿宋_GB2312" w:hint="eastAsia"/>
          <w:sz w:val="32"/>
          <w:szCs w:val="32"/>
        </w:rPr>
        <w:t>万元，占</w:t>
      </w:r>
      <w:r w:rsidR="00DB2D00">
        <w:rPr>
          <w:rFonts w:ascii="仿宋_GB2312" w:eastAsia="仿宋_GB2312" w:cs="仿宋_GB2312" w:hint="eastAsia"/>
          <w:sz w:val="32"/>
          <w:szCs w:val="32"/>
        </w:rPr>
        <w:t>99.</w:t>
      </w:r>
      <w:r w:rsidR="00A957E3">
        <w:rPr>
          <w:rFonts w:ascii="仿宋_GB2312" w:eastAsia="仿宋_GB2312" w:cs="仿宋_GB2312" w:hint="eastAsia"/>
          <w:sz w:val="32"/>
          <w:szCs w:val="32"/>
        </w:rPr>
        <w:t>42</w:t>
      </w:r>
      <w:r w:rsidRPr="003561BD">
        <w:rPr>
          <w:rFonts w:ascii="仿宋_GB2312" w:eastAsia="仿宋_GB2312" w:cs="仿宋_GB2312"/>
          <w:sz w:val="32"/>
          <w:szCs w:val="32"/>
        </w:rPr>
        <w:t>%</w:t>
      </w:r>
      <w:r w:rsidRPr="003561BD">
        <w:rPr>
          <w:rFonts w:ascii="仿宋_GB2312" w:eastAsia="仿宋_GB2312" w:cs="仿宋_GB2312" w:hint="eastAsia"/>
          <w:sz w:val="32"/>
          <w:szCs w:val="32"/>
        </w:rPr>
        <w:t>；公务接待费支出决算</w:t>
      </w:r>
      <w:r w:rsidR="00A957E3">
        <w:rPr>
          <w:rFonts w:ascii="仿宋_GB2312" w:eastAsia="仿宋_GB2312" w:cs="仿宋_GB2312" w:hint="eastAsia"/>
          <w:sz w:val="32"/>
          <w:szCs w:val="32"/>
        </w:rPr>
        <w:t>0.77</w:t>
      </w:r>
      <w:r w:rsidR="00A16BBD">
        <w:rPr>
          <w:rFonts w:ascii="仿宋_GB2312" w:eastAsia="仿宋_GB2312" w:cs="仿宋_GB2312" w:hint="eastAsia"/>
          <w:sz w:val="32"/>
          <w:szCs w:val="32"/>
        </w:rPr>
        <w:t>万</w:t>
      </w:r>
      <w:r w:rsidRPr="003561BD">
        <w:rPr>
          <w:rFonts w:ascii="仿宋_GB2312" w:eastAsia="仿宋_GB2312" w:cs="仿宋_GB2312" w:hint="eastAsia"/>
          <w:sz w:val="32"/>
          <w:szCs w:val="32"/>
        </w:rPr>
        <w:t>元，占</w:t>
      </w:r>
      <w:r w:rsidR="00DB2D00">
        <w:rPr>
          <w:rFonts w:ascii="仿宋_GB2312" w:eastAsia="仿宋_GB2312" w:cs="仿宋_GB2312" w:hint="eastAsia"/>
          <w:sz w:val="32"/>
          <w:szCs w:val="32"/>
        </w:rPr>
        <w:t>0.</w:t>
      </w:r>
      <w:r w:rsidR="00A957E3">
        <w:rPr>
          <w:rFonts w:ascii="仿宋_GB2312" w:eastAsia="仿宋_GB2312" w:cs="仿宋_GB2312" w:hint="eastAsia"/>
          <w:sz w:val="32"/>
          <w:szCs w:val="32"/>
        </w:rPr>
        <w:t>58</w:t>
      </w:r>
      <w:r w:rsidRPr="003561BD">
        <w:rPr>
          <w:rFonts w:ascii="仿宋_GB2312" w:eastAsia="仿宋_GB2312" w:cs="仿宋_GB2312"/>
          <w:sz w:val="32"/>
          <w:szCs w:val="32"/>
        </w:rPr>
        <w:t>%</w:t>
      </w:r>
      <w:r w:rsidRPr="003561BD">
        <w:rPr>
          <w:rFonts w:ascii="仿宋_GB2312" w:eastAsia="仿宋_GB2312" w:cs="仿宋_GB2312" w:hint="eastAsia"/>
          <w:sz w:val="32"/>
          <w:szCs w:val="32"/>
        </w:rPr>
        <w:t>。具体情况如下：</w:t>
      </w:r>
    </w:p>
    <w:p w:rsidR="00387396" w:rsidRDefault="00387396" w:rsidP="00387396">
      <w:pPr>
        <w:spacing w:line="500" w:lineRule="exact"/>
        <w:ind w:firstLineChars="200" w:firstLine="480"/>
        <w:rPr>
          <w:rFonts w:ascii="仿宋" w:eastAsia="仿宋" w:hAnsi="仿宋"/>
          <w:color w:val="000000"/>
          <w:sz w:val="24"/>
        </w:rPr>
      </w:pPr>
      <w:r>
        <w:rPr>
          <w:rFonts w:ascii="仿宋" w:eastAsia="仿宋" w:hAnsi="仿宋" w:cs="仿宋" w:hint="eastAsia"/>
          <w:color w:val="000000"/>
          <w:sz w:val="24"/>
        </w:rPr>
        <w:t>（图</w:t>
      </w:r>
      <w:r>
        <w:rPr>
          <w:rFonts w:ascii="仿宋" w:eastAsia="仿宋" w:hAnsi="仿宋" w:cs="仿宋"/>
          <w:color w:val="000000"/>
          <w:sz w:val="24"/>
        </w:rPr>
        <w:t>8</w:t>
      </w:r>
      <w:r>
        <w:rPr>
          <w:rFonts w:ascii="仿宋" w:eastAsia="仿宋" w:hAnsi="仿宋" w:cs="仿宋" w:hint="eastAsia"/>
          <w:color w:val="000000"/>
          <w:sz w:val="24"/>
        </w:rPr>
        <w:t>：“三公”经费财政拨款支出结构）</w:t>
      </w:r>
    </w:p>
    <w:p w:rsidR="00387396" w:rsidRDefault="00387396" w:rsidP="00387396">
      <w:pPr>
        <w:ind w:firstLine="641"/>
        <w:rPr>
          <w:rFonts w:ascii="仿宋" w:eastAsia="仿宋" w:hAnsi="仿宋"/>
          <w:color w:val="000000"/>
          <w:sz w:val="32"/>
          <w:szCs w:val="32"/>
        </w:rPr>
      </w:pPr>
      <w:r>
        <w:rPr>
          <w:rFonts w:ascii="仿宋" w:eastAsia="仿宋" w:hAnsi="仿宋"/>
          <w:noProof/>
          <w:color w:val="000000"/>
          <w:sz w:val="32"/>
          <w:szCs w:val="32"/>
        </w:rPr>
        <w:drawing>
          <wp:inline distT="0" distB="0" distL="0" distR="0">
            <wp:extent cx="5791200" cy="1866900"/>
            <wp:effectExtent l="0" t="0" r="0" b="0"/>
            <wp:docPr id="28" name="对象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90F33" w:rsidRDefault="00090F33" w:rsidP="00387396">
      <w:pPr>
        <w:spacing w:line="600" w:lineRule="exact"/>
        <w:ind w:firstLine="640"/>
        <w:rPr>
          <w:rFonts w:ascii="仿宋_GB2312" w:eastAsia="仿宋_GB2312" w:cs="仿宋_GB2312"/>
          <w:b/>
          <w:bCs/>
          <w:color w:val="000000"/>
          <w:sz w:val="32"/>
          <w:szCs w:val="32"/>
        </w:rPr>
      </w:pPr>
    </w:p>
    <w:p w:rsidR="00387396" w:rsidRDefault="00387396" w:rsidP="00387396">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1.</w:t>
      </w:r>
      <w:r>
        <w:rPr>
          <w:rFonts w:ascii="仿宋_GB2312" w:eastAsia="仿宋_GB2312" w:cs="仿宋_GB2312" w:hint="eastAsia"/>
          <w:b/>
          <w:bCs/>
          <w:color w:val="000000"/>
          <w:sz w:val="32"/>
          <w:szCs w:val="32"/>
        </w:rPr>
        <w:t>因公出国（境）经费支出</w:t>
      </w:r>
      <w:r w:rsidR="00123DE7">
        <w:rPr>
          <w:rFonts w:ascii="仿宋_GB2312" w:eastAsia="仿宋_GB2312" w:cs="仿宋_GB2312" w:hint="eastAsia"/>
          <w:b/>
          <w:bCs/>
          <w:color w:val="000000"/>
          <w:sz w:val="32"/>
          <w:szCs w:val="32"/>
        </w:rPr>
        <w:t>0</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全年安排因公出国（境）团组</w:t>
      </w:r>
      <w:r w:rsidR="00123DE7">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次，出国（境）</w:t>
      </w:r>
      <w:r w:rsidR="00123DE7">
        <w:rPr>
          <w:rFonts w:ascii="仿宋_GB2312" w:eastAsia="仿宋_GB2312" w:cs="仿宋_GB2312" w:hint="eastAsia"/>
          <w:color w:val="000000"/>
          <w:sz w:val="32"/>
          <w:szCs w:val="32"/>
        </w:rPr>
        <w:t>0</w:t>
      </w:r>
      <w:r>
        <w:rPr>
          <w:rFonts w:ascii="仿宋_GB2312" w:eastAsia="仿宋_GB2312" w:cs="仿宋_GB2312" w:hint="eastAsia"/>
          <w:color w:val="000000"/>
          <w:sz w:val="32"/>
          <w:szCs w:val="32"/>
        </w:rPr>
        <w:t>人。因公出国（境）支出决算</w:t>
      </w:r>
      <w:r w:rsidR="00660643">
        <w:rPr>
          <w:rFonts w:ascii="仿宋_GB2312" w:eastAsia="仿宋_GB2312" w:cs="仿宋_GB2312" w:hint="eastAsia"/>
          <w:color w:val="000000"/>
          <w:sz w:val="32"/>
          <w:szCs w:val="32"/>
        </w:rPr>
        <w:t>与20</w:t>
      </w:r>
      <w:r w:rsidR="00CA72E6">
        <w:rPr>
          <w:rFonts w:ascii="仿宋_GB2312" w:eastAsia="仿宋_GB2312" w:cs="仿宋_GB2312" w:hint="eastAsia"/>
          <w:color w:val="000000"/>
          <w:sz w:val="32"/>
          <w:szCs w:val="32"/>
        </w:rPr>
        <w:t>20</w:t>
      </w:r>
      <w:r w:rsidR="00660643">
        <w:rPr>
          <w:rFonts w:ascii="仿宋_GB2312" w:eastAsia="仿宋_GB2312" w:cs="仿宋_GB2312" w:hint="eastAsia"/>
          <w:color w:val="000000"/>
          <w:sz w:val="32"/>
          <w:szCs w:val="32"/>
        </w:rPr>
        <w:t>年持平</w:t>
      </w:r>
      <w:r>
        <w:rPr>
          <w:rFonts w:ascii="仿宋_GB2312" w:eastAsia="仿宋_GB2312" w:cs="仿宋_GB2312" w:hint="eastAsia"/>
          <w:color w:val="000000"/>
          <w:sz w:val="32"/>
          <w:szCs w:val="32"/>
        </w:rPr>
        <w:t>。</w:t>
      </w:r>
    </w:p>
    <w:p w:rsidR="00387396" w:rsidRDefault="00387396" w:rsidP="00387396">
      <w:pPr>
        <w:spacing w:line="600" w:lineRule="exact"/>
        <w:ind w:firstLine="640"/>
        <w:rPr>
          <w:rFonts w:ascii="仿宋_GB2312" w:eastAsia="仿宋_GB2312"/>
          <w:b/>
          <w:bCs/>
          <w:color w:val="000000"/>
          <w:sz w:val="32"/>
          <w:szCs w:val="32"/>
        </w:rPr>
      </w:pPr>
      <w:r>
        <w:rPr>
          <w:rFonts w:ascii="仿宋_GB2312" w:eastAsia="仿宋_GB2312" w:cs="仿宋_GB2312"/>
          <w:b/>
          <w:bCs/>
          <w:color w:val="000000"/>
          <w:sz w:val="32"/>
          <w:szCs w:val="32"/>
        </w:rPr>
        <w:t>2.</w:t>
      </w:r>
      <w:r>
        <w:rPr>
          <w:rFonts w:ascii="仿宋_GB2312" w:eastAsia="仿宋_GB2312" w:cs="仿宋_GB2312" w:hint="eastAsia"/>
          <w:b/>
          <w:bCs/>
          <w:color w:val="000000"/>
          <w:sz w:val="32"/>
          <w:szCs w:val="32"/>
        </w:rPr>
        <w:t>公务用车购置及运行维护费支出</w:t>
      </w:r>
      <w:r w:rsidR="00A957E3">
        <w:rPr>
          <w:rFonts w:ascii="仿宋_GB2312" w:eastAsia="仿宋_GB2312" w:cs="仿宋_GB2312" w:hint="eastAsia"/>
          <w:b/>
          <w:bCs/>
          <w:color w:val="000000"/>
          <w:sz w:val="32"/>
          <w:szCs w:val="32"/>
        </w:rPr>
        <w:t>130.88</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公务用车购置及运行维护费支出决算比</w:t>
      </w:r>
      <w:r>
        <w:rPr>
          <w:rFonts w:ascii="仿宋_GB2312" w:eastAsia="仿宋_GB2312" w:cs="仿宋_GB2312"/>
          <w:color w:val="000000"/>
          <w:sz w:val="32"/>
          <w:szCs w:val="32"/>
        </w:rPr>
        <w:t>20</w:t>
      </w:r>
      <w:r w:rsidR="00A957E3">
        <w:rPr>
          <w:rFonts w:ascii="仿宋_GB2312" w:eastAsia="仿宋_GB2312" w:cs="仿宋_GB2312" w:hint="eastAsia"/>
          <w:color w:val="000000"/>
          <w:sz w:val="32"/>
          <w:szCs w:val="32"/>
        </w:rPr>
        <w:t>20</w:t>
      </w:r>
      <w:r>
        <w:rPr>
          <w:rFonts w:ascii="仿宋_GB2312" w:eastAsia="仿宋_GB2312" w:cs="仿宋_GB2312" w:hint="eastAsia"/>
          <w:color w:val="000000"/>
          <w:sz w:val="32"/>
          <w:szCs w:val="32"/>
        </w:rPr>
        <w:t>年</w:t>
      </w:r>
      <w:r w:rsidR="00537F21">
        <w:rPr>
          <w:rFonts w:ascii="仿宋_GB2312" w:eastAsia="仿宋_GB2312" w:cs="仿宋_GB2312" w:hint="eastAsia"/>
          <w:color w:val="000000"/>
          <w:sz w:val="32"/>
          <w:szCs w:val="32"/>
        </w:rPr>
        <w:t>增</w:t>
      </w:r>
      <w:r w:rsidR="00537F21" w:rsidRPr="000C3DC2">
        <w:rPr>
          <w:rFonts w:ascii="仿宋_GB2312" w:eastAsia="仿宋_GB2312" w:cs="仿宋_GB2312" w:hint="eastAsia"/>
          <w:color w:val="000000" w:themeColor="text1"/>
          <w:sz w:val="32"/>
          <w:szCs w:val="32"/>
        </w:rPr>
        <w:t>加</w:t>
      </w:r>
      <w:r w:rsidR="00A957E3">
        <w:rPr>
          <w:rFonts w:ascii="仿宋_GB2312" w:eastAsia="仿宋_GB2312" w:cs="仿宋_GB2312" w:hint="eastAsia"/>
          <w:color w:val="000000" w:themeColor="text1"/>
          <w:sz w:val="32"/>
          <w:szCs w:val="32"/>
        </w:rPr>
        <w:t>5.98</w:t>
      </w:r>
      <w:r w:rsidR="00537F21" w:rsidRPr="000C3DC2">
        <w:rPr>
          <w:rFonts w:ascii="仿宋_GB2312" w:eastAsia="仿宋_GB2312" w:cs="仿宋_GB2312" w:hint="eastAsia"/>
          <w:color w:val="000000" w:themeColor="text1"/>
          <w:sz w:val="32"/>
          <w:szCs w:val="32"/>
        </w:rPr>
        <w:t>万</w:t>
      </w:r>
      <w:r w:rsidR="00537F21">
        <w:rPr>
          <w:rFonts w:ascii="仿宋_GB2312" w:eastAsia="仿宋_GB2312" w:cs="仿宋_GB2312" w:hint="eastAsia"/>
          <w:color w:val="000000"/>
          <w:sz w:val="32"/>
          <w:szCs w:val="32"/>
        </w:rPr>
        <w:t>元，</w:t>
      </w:r>
      <w:r w:rsidR="00537F21">
        <w:rPr>
          <w:rFonts w:ascii="仿宋_GB2312" w:eastAsia="仿宋_GB2312" w:cs="仿宋_GB2312" w:hint="eastAsia"/>
          <w:color w:val="000000"/>
          <w:sz w:val="32"/>
          <w:szCs w:val="32"/>
        </w:rPr>
        <w:lastRenderedPageBreak/>
        <w:t>增加</w:t>
      </w:r>
      <w:r w:rsidR="00A957E3">
        <w:rPr>
          <w:rFonts w:ascii="仿宋_GB2312" w:eastAsia="仿宋_GB2312" w:cs="仿宋_GB2312" w:hint="eastAsia"/>
          <w:color w:val="000000"/>
          <w:sz w:val="32"/>
          <w:szCs w:val="32"/>
        </w:rPr>
        <w:t>4.79</w:t>
      </w:r>
      <w:r>
        <w:rPr>
          <w:rFonts w:ascii="仿宋_GB2312" w:eastAsia="仿宋_GB2312" w:cs="仿宋_GB2312"/>
          <w:color w:val="000000"/>
          <w:sz w:val="32"/>
          <w:szCs w:val="32"/>
        </w:rPr>
        <w:t>%</w:t>
      </w:r>
      <w:r>
        <w:rPr>
          <w:rFonts w:ascii="仿宋_GB2312" w:eastAsia="仿宋_GB2312" w:cs="仿宋_GB2312" w:hint="eastAsia"/>
          <w:color w:val="000000"/>
          <w:sz w:val="32"/>
          <w:szCs w:val="32"/>
        </w:rPr>
        <w:t>。主要原因是</w:t>
      </w:r>
      <w:r w:rsidR="00EE21CF">
        <w:rPr>
          <w:rFonts w:ascii="仿宋_GB2312" w:eastAsia="仿宋_GB2312" w:cs="仿宋_GB2312" w:hint="eastAsia"/>
          <w:color w:val="000000"/>
          <w:sz w:val="32"/>
          <w:szCs w:val="32"/>
        </w:rPr>
        <w:t>业务</w:t>
      </w:r>
      <w:r>
        <w:rPr>
          <w:rFonts w:ascii="仿宋_GB2312" w:eastAsia="仿宋_GB2312" w:cs="仿宋_GB2312" w:hint="eastAsia"/>
          <w:color w:val="000000"/>
          <w:sz w:val="32"/>
          <w:szCs w:val="32"/>
        </w:rPr>
        <w:t>用车购置</w:t>
      </w:r>
      <w:r w:rsidR="00537F21">
        <w:rPr>
          <w:rFonts w:ascii="仿宋_GB2312" w:eastAsia="仿宋_GB2312" w:cs="仿宋_GB2312" w:hint="eastAsia"/>
          <w:color w:val="000000"/>
          <w:sz w:val="32"/>
          <w:szCs w:val="32"/>
        </w:rPr>
        <w:t>。</w:t>
      </w:r>
    </w:p>
    <w:p w:rsidR="00B110C4" w:rsidRDefault="00387396" w:rsidP="00B110C4">
      <w:pPr>
        <w:spacing w:line="600" w:lineRule="exact"/>
        <w:ind w:firstLineChars="200" w:firstLine="640"/>
        <w:rPr>
          <w:rFonts w:ascii="仿宋_GB2312" w:eastAsia="仿宋_GB2312" w:cs="仿宋_GB2312"/>
          <w:color w:val="000000"/>
          <w:sz w:val="32"/>
          <w:szCs w:val="32"/>
        </w:rPr>
      </w:pPr>
      <w:r>
        <w:rPr>
          <w:rFonts w:ascii="仿宋_GB2312" w:eastAsia="仿宋_GB2312" w:cs="仿宋_GB2312" w:hint="eastAsia"/>
          <w:color w:val="000000"/>
          <w:sz w:val="32"/>
          <w:szCs w:val="32"/>
        </w:rPr>
        <w:t>其中：</w:t>
      </w:r>
      <w:r>
        <w:rPr>
          <w:rFonts w:ascii="仿宋_GB2312" w:eastAsia="仿宋_GB2312" w:cs="仿宋_GB2312" w:hint="eastAsia"/>
          <w:b/>
          <w:bCs/>
          <w:color w:val="000000"/>
          <w:sz w:val="32"/>
          <w:szCs w:val="32"/>
        </w:rPr>
        <w:t>公务用车购置支出</w:t>
      </w:r>
      <w:r w:rsidR="005F4949">
        <w:rPr>
          <w:rFonts w:ascii="仿宋_GB2312" w:eastAsia="仿宋_GB2312" w:cs="仿宋_GB2312" w:hint="eastAsia"/>
          <w:b/>
          <w:bCs/>
          <w:color w:val="000000"/>
          <w:sz w:val="32"/>
          <w:szCs w:val="32"/>
        </w:rPr>
        <w:t>17.88</w:t>
      </w:r>
      <w:r>
        <w:rPr>
          <w:rFonts w:ascii="仿宋_GB2312" w:eastAsia="仿宋_GB2312" w:cs="仿宋_GB2312" w:hint="eastAsia"/>
          <w:color w:val="000000"/>
          <w:sz w:val="32"/>
          <w:szCs w:val="32"/>
        </w:rPr>
        <w:t>万元。全年按规定更新购置公务用车</w:t>
      </w:r>
      <w:r w:rsidR="008E2A2C">
        <w:rPr>
          <w:rFonts w:ascii="仿宋_GB2312" w:eastAsia="仿宋_GB2312" w:cs="仿宋_GB2312" w:hint="eastAsia"/>
          <w:color w:val="000000"/>
          <w:sz w:val="32"/>
          <w:szCs w:val="32"/>
        </w:rPr>
        <w:t>2</w:t>
      </w:r>
      <w:r>
        <w:rPr>
          <w:rFonts w:ascii="仿宋_GB2312" w:eastAsia="仿宋_GB2312" w:cs="仿宋_GB2312" w:hint="eastAsia"/>
          <w:color w:val="000000"/>
          <w:sz w:val="32"/>
          <w:szCs w:val="32"/>
        </w:rPr>
        <w:t>辆。截至</w:t>
      </w:r>
      <w:r>
        <w:rPr>
          <w:rFonts w:ascii="仿宋_GB2312" w:eastAsia="仿宋_GB2312" w:cs="仿宋_GB2312"/>
          <w:color w:val="000000"/>
          <w:sz w:val="32"/>
          <w:szCs w:val="32"/>
        </w:rPr>
        <w:t>2</w:t>
      </w:r>
      <w:r w:rsidR="00B42445">
        <w:rPr>
          <w:rFonts w:ascii="仿宋_GB2312" w:eastAsia="仿宋_GB2312" w:cs="仿宋_GB2312" w:hint="eastAsia"/>
          <w:color w:val="000000"/>
          <w:sz w:val="32"/>
          <w:szCs w:val="32"/>
        </w:rPr>
        <w:t>021</w:t>
      </w:r>
      <w:r>
        <w:rPr>
          <w:rFonts w:ascii="仿宋_GB2312" w:eastAsia="仿宋_GB2312" w:cs="仿宋_GB2312" w:hint="eastAsia"/>
          <w:color w:val="000000"/>
          <w:sz w:val="32"/>
          <w:szCs w:val="32"/>
        </w:rPr>
        <w:t>年</w:t>
      </w:r>
      <w:r>
        <w:rPr>
          <w:rFonts w:ascii="仿宋_GB2312" w:eastAsia="仿宋_GB2312" w:cs="仿宋_GB2312"/>
          <w:color w:val="000000"/>
          <w:sz w:val="32"/>
          <w:szCs w:val="32"/>
        </w:rPr>
        <w:t>12</w:t>
      </w:r>
      <w:r>
        <w:rPr>
          <w:rFonts w:ascii="仿宋_GB2312" w:eastAsia="仿宋_GB2312" w:cs="仿宋_GB2312" w:hint="eastAsia"/>
          <w:color w:val="000000"/>
          <w:sz w:val="32"/>
          <w:szCs w:val="32"/>
        </w:rPr>
        <w:t>月底，单位共有公务用车</w:t>
      </w:r>
      <w:r w:rsidR="00B42445">
        <w:rPr>
          <w:rFonts w:ascii="仿宋_GB2312" w:eastAsia="仿宋_GB2312" w:cs="仿宋_GB2312" w:hint="eastAsia"/>
          <w:color w:val="000000"/>
          <w:sz w:val="32"/>
          <w:szCs w:val="32"/>
        </w:rPr>
        <w:t>50</w:t>
      </w:r>
      <w:r w:rsidR="00B110C4">
        <w:rPr>
          <w:rFonts w:ascii="仿宋_GB2312" w:eastAsia="仿宋_GB2312" w:cs="仿宋_GB2312" w:hint="eastAsia"/>
          <w:color w:val="000000"/>
          <w:sz w:val="32"/>
          <w:szCs w:val="32"/>
        </w:rPr>
        <w:t>辆，其中：</w:t>
      </w:r>
      <w:r w:rsidR="00B110C4" w:rsidRPr="00B110C4">
        <w:rPr>
          <w:rFonts w:ascii="仿宋_GB2312" w:eastAsia="仿宋_GB2312" w:cs="仿宋_GB2312" w:hint="eastAsia"/>
          <w:color w:val="000000"/>
          <w:sz w:val="32"/>
          <w:szCs w:val="32"/>
        </w:rPr>
        <w:t>机要通信用车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应急保障用车</w:t>
      </w:r>
      <w:r w:rsidR="000C3DC2">
        <w:rPr>
          <w:rFonts w:ascii="仿宋_GB2312" w:eastAsia="仿宋_GB2312" w:cs="仿宋_GB2312" w:hint="eastAsia"/>
          <w:color w:val="000000"/>
          <w:sz w:val="32"/>
          <w:szCs w:val="32"/>
        </w:rPr>
        <w:t>1</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执法执勤用车</w:t>
      </w:r>
      <w:r w:rsidR="00B42445">
        <w:rPr>
          <w:rFonts w:ascii="仿宋_GB2312" w:eastAsia="仿宋_GB2312" w:cs="仿宋_GB2312" w:hint="eastAsia"/>
          <w:color w:val="000000"/>
          <w:sz w:val="32"/>
          <w:szCs w:val="32"/>
        </w:rPr>
        <w:t>49</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特种专业技术用车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r w:rsidR="00B110C4" w:rsidRPr="00B110C4">
        <w:rPr>
          <w:rFonts w:ascii="仿宋_GB2312" w:eastAsia="仿宋_GB2312" w:cs="仿宋_GB2312" w:hint="eastAsia"/>
          <w:color w:val="000000"/>
          <w:sz w:val="32"/>
          <w:szCs w:val="32"/>
        </w:rPr>
        <w:t>其他用车</w:t>
      </w:r>
      <w:r w:rsidR="000C3DC2">
        <w:rPr>
          <w:rFonts w:ascii="仿宋_GB2312" w:eastAsia="仿宋_GB2312" w:cs="仿宋_GB2312" w:hint="eastAsia"/>
          <w:color w:val="000000"/>
          <w:sz w:val="32"/>
          <w:szCs w:val="32"/>
        </w:rPr>
        <w:t>0</w:t>
      </w:r>
      <w:r w:rsidR="00B110C4">
        <w:rPr>
          <w:rFonts w:ascii="仿宋_GB2312" w:eastAsia="仿宋_GB2312" w:cs="仿宋_GB2312" w:hint="eastAsia"/>
          <w:color w:val="000000"/>
          <w:sz w:val="32"/>
          <w:szCs w:val="32"/>
        </w:rPr>
        <w:t>辆。</w:t>
      </w:r>
    </w:p>
    <w:p w:rsidR="00387396" w:rsidRPr="00E61060" w:rsidRDefault="00387396" w:rsidP="00B110C4">
      <w:pPr>
        <w:spacing w:line="600" w:lineRule="exact"/>
        <w:ind w:firstLineChars="200" w:firstLine="643"/>
        <w:rPr>
          <w:rFonts w:ascii="仿宋_GB2312" w:eastAsia="仿宋_GB2312"/>
          <w:color w:val="000000"/>
          <w:sz w:val="32"/>
          <w:szCs w:val="32"/>
        </w:rPr>
      </w:pPr>
      <w:r>
        <w:rPr>
          <w:rFonts w:ascii="仿宋_GB2312" w:eastAsia="仿宋_GB2312" w:cs="仿宋_GB2312" w:hint="eastAsia"/>
          <w:b/>
          <w:bCs/>
          <w:color w:val="000000"/>
          <w:sz w:val="32"/>
          <w:szCs w:val="32"/>
        </w:rPr>
        <w:t>公务用车运行维护费支出</w:t>
      </w:r>
      <w:r w:rsidR="001149BC">
        <w:rPr>
          <w:rFonts w:ascii="仿宋_GB2312" w:eastAsia="仿宋_GB2312" w:cs="仿宋_GB2312" w:hint="eastAsia"/>
          <w:b/>
          <w:bCs/>
          <w:color w:val="000000"/>
          <w:sz w:val="32"/>
          <w:szCs w:val="32"/>
        </w:rPr>
        <w:t>113</w:t>
      </w:r>
      <w:r>
        <w:rPr>
          <w:rFonts w:ascii="仿宋_GB2312" w:eastAsia="仿宋_GB2312" w:cs="仿宋_GB2312" w:hint="eastAsia"/>
          <w:color w:val="000000"/>
          <w:sz w:val="32"/>
          <w:szCs w:val="32"/>
        </w:rPr>
        <w:t>万元。主要用于城市维护管理等所需的公务用车燃料费、维修费、过路过桥费、保险费等支出。</w:t>
      </w:r>
      <w:r w:rsidR="00E61060">
        <w:rPr>
          <w:rFonts w:ascii="仿宋_GB2312" w:eastAsia="仿宋_GB2312" w:cs="仿宋_GB2312" w:hint="eastAsia"/>
          <w:color w:val="000000"/>
          <w:sz w:val="32"/>
          <w:szCs w:val="32"/>
        </w:rPr>
        <w:t>公务</w:t>
      </w:r>
      <w:r w:rsidR="00E61060" w:rsidRPr="00E61060">
        <w:rPr>
          <w:rFonts w:ascii="仿宋_GB2312" w:eastAsia="仿宋_GB2312" w:cs="仿宋_GB2312" w:hint="eastAsia"/>
          <w:bCs/>
          <w:color w:val="000000"/>
          <w:sz w:val="32"/>
          <w:szCs w:val="32"/>
        </w:rPr>
        <w:t>用车运行维护费支出</w:t>
      </w:r>
      <w:r w:rsidR="00E61060" w:rsidRPr="00871D8A">
        <w:rPr>
          <w:rFonts w:ascii="仿宋_GB2312" w:eastAsia="仿宋_GB2312" w:cs="仿宋_GB2312" w:hint="eastAsia"/>
          <w:color w:val="000000" w:themeColor="text1"/>
          <w:sz w:val="32"/>
          <w:szCs w:val="32"/>
        </w:rPr>
        <w:t>决算比</w:t>
      </w:r>
      <w:r w:rsidR="00E61060" w:rsidRPr="00871D8A">
        <w:rPr>
          <w:rFonts w:ascii="仿宋_GB2312" w:eastAsia="仿宋_GB2312" w:cs="仿宋_GB2312"/>
          <w:color w:val="000000" w:themeColor="text1"/>
          <w:sz w:val="32"/>
          <w:szCs w:val="32"/>
        </w:rPr>
        <w:t>20</w:t>
      </w:r>
      <w:r w:rsidR="001149BC">
        <w:rPr>
          <w:rFonts w:ascii="仿宋_GB2312" w:eastAsia="仿宋_GB2312" w:cs="仿宋_GB2312" w:hint="eastAsia"/>
          <w:color w:val="000000" w:themeColor="text1"/>
          <w:sz w:val="32"/>
          <w:szCs w:val="32"/>
        </w:rPr>
        <w:t>20</w:t>
      </w:r>
      <w:r w:rsidR="00E61060" w:rsidRPr="00871D8A">
        <w:rPr>
          <w:rFonts w:ascii="仿宋_GB2312" w:eastAsia="仿宋_GB2312" w:cs="仿宋_GB2312" w:hint="eastAsia"/>
          <w:color w:val="000000" w:themeColor="text1"/>
          <w:sz w:val="32"/>
          <w:szCs w:val="32"/>
        </w:rPr>
        <w:t>年</w:t>
      </w:r>
      <w:r w:rsidR="001149BC">
        <w:rPr>
          <w:rFonts w:ascii="仿宋_GB2312" w:eastAsia="仿宋_GB2312" w:cs="仿宋_GB2312" w:hint="eastAsia"/>
          <w:color w:val="000000" w:themeColor="text1"/>
          <w:sz w:val="32"/>
          <w:szCs w:val="32"/>
        </w:rPr>
        <w:t>增加113</w:t>
      </w:r>
      <w:r w:rsidR="00E61060" w:rsidRPr="00871D8A">
        <w:rPr>
          <w:rFonts w:ascii="仿宋_GB2312" w:eastAsia="仿宋_GB2312" w:cs="仿宋_GB2312" w:hint="eastAsia"/>
          <w:color w:val="000000" w:themeColor="text1"/>
          <w:sz w:val="32"/>
          <w:szCs w:val="32"/>
        </w:rPr>
        <w:t>万元，</w:t>
      </w:r>
      <w:r w:rsidR="001149BC">
        <w:rPr>
          <w:rFonts w:ascii="仿宋_GB2312" w:eastAsia="仿宋_GB2312" w:cs="仿宋_GB2312" w:hint="eastAsia"/>
          <w:color w:val="000000" w:themeColor="text1"/>
          <w:sz w:val="32"/>
          <w:szCs w:val="32"/>
        </w:rPr>
        <w:t>增加4.69</w:t>
      </w:r>
      <w:r w:rsidR="00E61060" w:rsidRPr="00871D8A">
        <w:rPr>
          <w:rFonts w:ascii="仿宋_GB2312" w:eastAsia="仿宋_GB2312" w:cs="仿宋_GB2312"/>
          <w:color w:val="000000" w:themeColor="text1"/>
          <w:sz w:val="32"/>
          <w:szCs w:val="32"/>
        </w:rPr>
        <w:t>%</w:t>
      </w:r>
      <w:r w:rsidR="00E61060" w:rsidRPr="00871D8A">
        <w:rPr>
          <w:rFonts w:ascii="仿宋_GB2312" w:eastAsia="仿宋_GB2312" w:cs="仿宋_GB2312" w:hint="eastAsia"/>
          <w:color w:val="000000" w:themeColor="text1"/>
          <w:sz w:val="32"/>
          <w:szCs w:val="32"/>
        </w:rPr>
        <w:t>，主要原因</w:t>
      </w:r>
      <w:r w:rsidR="001149BC">
        <w:rPr>
          <w:rFonts w:ascii="仿宋_GB2312" w:eastAsia="仿宋_GB2312" w:cs="仿宋_GB2312" w:hint="eastAsia"/>
          <w:color w:val="000000"/>
          <w:sz w:val="32"/>
          <w:szCs w:val="32"/>
        </w:rPr>
        <w:t>油价增加、维修费增加</w:t>
      </w:r>
      <w:r w:rsidR="00E61060">
        <w:rPr>
          <w:rFonts w:ascii="仿宋_GB2312" w:eastAsia="仿宋_GB2312" w:cs="仿宋_GB2312" w:hint="eastAsia"/>
          <w:color w:val="000000"/>
          <w:sz w:val="32"/>
          <w:szCs w:val="32"/>
        </w:rPr>
        <w:t>。</w:t>
      </w:r>
    </w:p>
    <w:p w:rsidR="00387396" w:rsidRDefault="00387396" w:rsidP="00387396">
      <w:pPr>
        <w:spacing w:line="600" w:lineRule="exact"/>
        <w:ind w:firstLine="640"/>
        <w:rPr>
          <w:rFonts w:ascii="仿宋_GB2312" w:eastAsia="仿宋_GB2312"/>
          <w:color w:val="000000"/>
          <w:sz w:val="32"/>
          <w:szCs w:val="32"/>
        </w:rPr>
      </w:pPr>
      <w:r>
        <w:rPr>
          <w:rFonts w:ascii="仿宋_GB2312" w:eastAsia="仿宋_GB2312" w:cs="仿宋_GB2312"/>
          <w:b/>
          <w:bCs/>
          <w:color w:val="000000"/>
          <w:sz w:val="32"/>
          <w:szCs w:val="32"/>
        </w:rPr>
        <w:t>3.</w:t>
      </w:r>
      <w:r>
        <w:rPr>
          <w:rFonts w:ascii="仿宋_GB2312" w:eastAsia="仿宋_GB2312" w:cs="仿宋_GB2312" w:hint="eastAsia"/>
          <w:b/>
          <w:bCs/>
          <w:color w:val="000000"/>
          <w:sz w:val="32"/>
          <w:szCs w:val="32"/>
        </w:rPr>
        <w:t>公务接待费支出</w:t>
      </w:r>
      <w:r w:rsidR="008931C7">
        <w:rPr>
          <w:rFonts w:ascii="仿宋_GB2312" w:eastAsia="仿宋_GB2312" w:cs="仿宋_GB2312"/>
          <w:b/>
          <w:bCs/>
          <w:color w:val="000000"/>
          <w:sz w:val="32"/>
          <w:szCs w:val="32"/>
        </w:rPr>
        <w:t>0.</w:t>
      </w:r>
      <w:r w:rsidR="008931C7">
        <w:rPr>
          <w:rFonts w:ascii="仿宋_GB2312" w:eastAsia="仿宋_GB2312" w:cs="仿宋_GB2312" w:hint="eastAsia"/>
          <w:b/>
          <w:bCs/>
          <w:color w:val="000000"/>
          <w:sz w:val="32"/>
          <w:szCs w:val="32"/>
        </w:rPr>
        <w:t>7</w:t>
      </w:r>
      <w:r w:rsidR="0097747F">
        <w:rPr>
          <w:rFonts w:ascii="仿宋_GB2312" w:eastAsia="仿宋_GB2312" w:cs="仿宋_GB2312"/>
          <w:b/>
          <w:bCs/>
          <w:color w:val="000000"/>
          <w:sz w:val="32"/>
          <w:szCs w:val="32"/>
        </w:rPr>
        <w:t>7</w:t>
      </w:r>
      <w:r>
        <w:rPr>
          <w:rFonts w:ascii="仿宋_GB2312" w:eastAsia="仿宋_GB2312" w:cs="仿宋_GB2312" w:hint="eastAsia"/>
          <w:color w:val="000000"/>
          <w:sz w:val="32"/>
          <w:szCs w:val="32"/>
        </w:rPr>
        <w:t>万元</w:t>
      </w:r>
      <w:r>
        <w:rPr>
          <w:rStyle w:val="aa"/>
          <w:rFonts w:ascii="仿宋" w:eastAsia="仿宋" w:hAnsi="仿宋" w:cs="仿宋" w:hint="eastAsia"/>
          <w:color w:val="000000"/>
          <w:sz w:val="32"/>
          <w:szCs w:val="32"/>
        </w:rPr>
        <w:t>。</w:t>
      </w:r>
      <w:r>
        <w:rPr>
          <w:rFonts w:ascii="仿宋_GB2312" w:eastAsia="仿宋_GB2312" w:cs="仿宋_GB2312" w:hint="eastAsia"/>
          <w:color w:val="000000"/>
          <w:sz w:val="32"/>
          <w:szCs w:val="32"/>
        </w:rPr>
        <w:t>公务接待费支出决算比</w:t>
      </w:r>
      <w:r>
        <w:rPr>
          <w:rFonts w:ascii="仿宋_GB2312" w:eastAsia="仿宋_GB2312" w:cs="仿宋_GB2312"/>
          <w:color w:val="000000"/>
          <w:sz w:val="32"/>
          <w:szCs w:val="32"/>
        </w:rPr>
        <w:t>20</w:t>
      </w:r>
      <w:r w:rsidR="008931C7">
        <w:rPr>
          <w:rFonts w:ascii="仿宋_GB2312" w:eastAsia="仿宋_GB2312" w:cs="仿宋_GB2312" w:hint="eastAsia"/>
          <w:color w:val="000000"/>
          <w:sz w:val="32"/>
          <w:szCs w:val="32"/>
        </w:rPr>
        <w:t>20</w:t>
      </w:r>
      <w:r>
        <w:rPr>
          <w:rFonts w:ascii="仿宋_GB2312" w:eastAsia="仿宋_GB2312" w:cs="仿宋_GB2312" w:hint="eastAsia"/>
          <w:color w:val="000000"/>
          <w:sz w:val="32"/>
          <w:szCs w:val="32"/>
        </w:rPr>
        <w:t>年</w:t>
      </w:r>
      <w:r w:rsidR="008931C7">
        <w:rPr>
          <w:rFonts w:ascii="仿宋_GB2312" w:eastAsia="仿宋_GB2312" w:cs="仿宋_GB2312" w:hint="eastAsia"/>
          <w:color w:val="000000"/>
          <w:sz w:val="32"/>
          <w:szCs w:val="32"/>
        </w:rPr>
        <w:t>减少0.2</w:t>
      </w:r>
      <w:r>
        <w:rPr>
          <w:rFonts w:ascii="仿宋_GB2312" w:eastAsia="仿宋_GB2312" w:cs="仿宋_GB2312" w:hint="eastAsia"/>
          <w:color w:val="000000"/>
          <w:sz w:val="32"/>
          <w:szCs w:val="32"/>
        </w:rPr>
        <w:t>万元，</w:t>
      </w:r>
      <w:r w:rsidR="008931C7">
        <w:rPr>
          <w:rFonts w:ascii="仿宋_GB2312" w:eastAsia="仿宋_GB2312" w:cs="仿宋_GB2312" w:hint="eastAsia"/>
          <w:color w:val="000000"/>
          <w:sz w:val="32"/>
          <w:szCs w:val="32"/>
        </w:rPr>
        <w:t>减少20.62</w:t>
      </w:r>
      <w:r>
        <w:rPr>
          <w:rFonts w:ascii="仿宋_GB2312" w:eastAsia="仿宋_GB2312" w:cs="仿宋_GB2312"/>
          <w:color w:val="000000"/>
          <w:sz w:val="32"/>
          <w:szCs w:val="32"/>
        </w:rPr>
        <w:t>%</w:t>
      </w:r>
      <w:r>
        <w:rPr>
          <w:rFonts w:ascii="仿宋_GB2312" w:eastAsia="仿宋_GB2312" w:cs="仿宋_GB2312" w:hint="eastAsia"/>
          <w:color w:val="000000"/>
          <w:sz w:val="32"/>
          <w:szCs w:val="32"/>
        </w:rPr>
        <w:t>。主要原因是</w:t>
      </w:r>
      <w:r w:rsidR="008931C7">
        <w:rPr>
          <w:rFonts w:ascii="仿宋_GB2312" w:eastAsia="仿宋_GB2312" w:cs="仿宋_GB2312" w:hint="eastAsia"/>
          <w:color w:val="000000"/>
          <w:sz w:val="32"/>
          <w:szCs w:val="32"/>
        </w:rPr>
        <w:t>疫情原因接待减少</w:t>
      </w:r>
      <w:r>
        <w:rPr>
          <w:rFonts w:ascii="仿宋_GB2312" w:eastAsia="仿宋_GB2312" w:cs="仿宋_GB2312" w:hint="eastAsia"/>
          <w:color w:val="000000"/>
          <w:sz w:val="32"/>
          <w:szCs w:val="32"/>
        </w:rPr>
        <w:t>。</w:t>
      </w:r>
    </w:p>
    <w:p w:rsidR="00387396" w:rsidRDefault="00387396" w:rsidP="00387396">
      <w:pPr>
        <w:spacing w:line="600" w:lineRule="exact"/>
        <w:ind w:firstLineChars="200" w:firstLine="640"/>
        <w:rPr>
          <w:rFonts w:ascii="仿宋_GB2312" w:eastAsia="仿宋_GB2312"/>
          <w:color w:val="000000"/>
          <w:sz w:val="32"/>
          <w:szCs w:val="32"/>
        </w:rPr>
      </w:pPr>
      <w:r>
        <w:rPr>
          <w:rFonts w:ascii="仿宋_GB2312" w:eastAsia="仿宋_GB2312" w:cs="仿宋_GB2312" w:hint="eastAsia"/>
          <w:color w:val="000000"/>
          <w:sz w:val="32"/>
          <w:szCs w:val="32"/>
        </w:rPr>
        <w:t>主要用于执行公务、开展业务活动开支的交通费、住宿费、用餐费等。国内公务接待</w:t>
      </w:r>
      <w:r w:rsidR="00EE266A">
        <w:rPr>
          <w:rFonts w:ascii="仿宋_GB2312" w:eastAsia="仿宋_GB2312" w:cs="仿宋_GB2312" w:hint="eastAsia"/>
          <w:color w:val="000000"/>
          <w:sz w:val="32"/>
          <w:szCs w:val="32"/>
        </w:rPr>
        <w:t>8</w:t>
      </w:r>
      <w:r>
        <w:rPr>
          <w:rFonts w:ascii="仿宋_GB2312" w:eastAsia="仿宋_GB2312" w:cs="仿宋_GB2312" w:hint="eastAsia"/>
          <w:color w:val="000000"/>
          <w:sz w:val="32"/>
          <w:szCs w:val="32"/>
        </w:rPr>
        <w:t>批次，</w:t>
      </w:r>
      <w:r w:rsidR="00EE266A">
        <w:rPr>
          <w:rFonts w:ascii="仿宋_GB2312" w:eastAsia="仿宋_GB2312" w:cs="仿宋_GB2312" w:hint="eastAsia"/>
          <w:color w:val="000000"/>
          <w:sz w:val="32"/>
          <w:szCs w:val="32"/>
        </w:rPr>
        <w:t>91</w:t>
      </w:r>
      <w:r>
        <w:rPr>
          <w:rFonts w:ascii="仿宋_GB2312" w:eastAsia="仿宋_GB2312" w:cs="仿宋_GB2312" w:hint="eastAsia"/>
          <w:color w:val="000000"/>
          <w:sz w:val="32"/>
          <w:szCs w:val="32"/>
        </w:rPr>
        <w:t>人次（包括陪同人员），共计支出</w:t>
      </w:r>
      <w:r w:rsidR="00EE266A">
        <w:rPr>
          <w:rFonts w:ascii="仿宋_GB2312" w:eastAsia="仿宋_GB2312" w:cs="仿宋_GB2312" w:hint="eastAsia"/>
          <w:color w:val="000000"/>
          <w:sz w:val="32"/>
          <w:szCs w:val="32"/>
        </w:rPr>
        <w:t>0.77</w:t>
      </w:r>
      <w:r>
        <w:rPr>
          <w:rFonts w:ascii="仿宋_GB2312" w:eastAsia="仿宋_GB2312" w:cs="仿宋_GB2312" w:hint="eastAsia"/>
          <w:color w:val="000000"/>
          <w:sz w:val="32"/>
          <w:szCs w:val="32"/>
        </w:rPr>
        <w:t>万元，主要是公务接待的餐费。</w:t>
      </w:r>
    </w:p>
    <w:p w:rsidR="00387396" w:rsidRDefault="00387396" w:rsidP="00387396">
      <w:pPr>
        <w:spacing w:line="600" w:lineRule="exact"/>
        <w:ind w:firstLineChars="200" w:firstLine="643"/>
        <w:rPr>
          <w:rFonts w:ascii="仿宋_GB2312" w:eastAsia="仿宋_GB2312"/>
          <w:color w:val="000000"/>
          <w:sz w:val="32"/>
          <w:szCs w:val="32"/>
        </w:rPr>
      </w:pPr>
      <w:r>
        <w:rPr>
          <w:rFonts w:ascii="仿宋" w:eastAsia="仿宋" w:hAnsi="仿宋" w:cs="仿宋" w:hint="eastAsia"/>
          <w:b/>
          <w:bCs/>
          <w:color w:val="000000"/>
          <w:sz w:val="32"/>
          <w:szCs w:val="32"/>
        </w:rPr>
        <w:t>外事接待支出</w:t>
      </w:r>
      <w:r>
        <w:rPr>
          <w:rFonts w:ascii="仿宋" w:eastAsia="仿宋" w:hAnsi="仿宋" w:cs="仿宋"/>
          <w:b/>
          <w:bCs/>
          <w:color w:val="000000"/>
          <w:sz w:val="32"/>
          <w:szCs w:val="32"/>
        </w:rPr>
        <w:t>0</w:t>
      </w:r>
      <w:r>
        <w:rPr>
          <w:rFonts w:ascii="仿宋_GB2312" w:eastAsia="仿宋_GB2312" w:cs="仿宋_GB2312" w:hint="eastAsia"/>
          <w:color w:val="000000"/>
          <w:sz w:val="32"/>
          <w:szCs w:val="32"/>
        </w:rPr>
        <w:t>万元，外事接待</w:t>
      </w:r>
      <w:r>
        <w:rPr>
          <w:rFonts w:ascii="仿宋_GB2312" w:eastAsia="仿宋_GB2312" w:cs="仿宋_GB2312"/>
          <w:color w:val="000000"/>
          <w:sz w:val="32"/>
          <w:szCs w:val="32"/>
        </w:rPr>
        <w:t>0</w:t>
      </w:r>
      <w:r>
        <w:rPr>
          <w:rFonts w:ascii="仿宋_GB2312" w:eastAsia="仿宋_GB2312" w:cs="仿宋_GB2312" w:hint="eastAsia"/>
          <w:color w:val="000000"/>
          <w:sz w:val="32"/>
          <w:szCs w:val="32"/>
        </w:rPr>
        <w:t>批次，</w:t>
      </w:r>
      <w:r>
        <w:rPr>
          <w:rFonts w:ascii="仿宋_GB2312" w:eastAsia="仿宋_GB2312" w:cs="仿宋_GB2312"/>
          <w:color w:val="000000"/>
          <w:sz w:val="32"/>
          <w:szCs w:val="32"/>
        </w:rPr>
        <w:t>0</w:t>
      </w:r>
      <w:r>
        <w:rPr>
          <w:rFonts w:ascii="仿宋_GB2312" w:eastAsia="仿宋_GB2312" w:cs="仿宋_GB2312" w:hint="eastAsia"/>
          <w:color w:val="000000"/>
          <w:sz w:val="32"/>
          <w:szCs w:val="32"/>
        </w:rPr>
        <w:t>人，共计支出</w:t>
      </w:r>
      <w:r>
        <w:rPr>
          <w:rFonts w:ascii="仿宋_GB2312" w:eastAsia="仿宋_GB2312" w:cs="仿宋_GB2312"/>
          <w:color w:val="000000"/>
          <w:sz w:val="32"/>
          <w:szCs w:val="32"/>
        </w:rPr>
        <w:t>0</w:t>
      </w:r>
      <w:r>
        <w:rPr>
          <w:rFonts w:ascii="仿宋_GB2312" w:eastAsia="仿宋_GB2312" w:cs="仿宋_GB2312" w:hint="eastAsia"/>
          <w:color w:val="000000"/>
          <w:sz w:val="32"/>
          <w:szCs w:val="32"/>
        </w:rPr>
        <w:t>万元。</w:t>
      </w:r>
    </w:p>
    <w:p w:rsidR="00387396" w:rsidRDefault="00387396" w:rsidP="00387396">
      <w:pPr>
        <w:spacing w:line="600" w:lineRule="exact"/>
        <w:ind w:firstLineChars="200" w:firstLine="643"/>
        <w:rPr>
          <w:rFonts w:ascii="黑体" w:eastAsia="黑体"/>
          <w:color w:val="000000"/>
          <w:sz w:val="32"/>
          <w:szCs w:val="32"/>
        </w:rPr>
      </w:pPr>
      <w:r>
        <w:rPr>
          <w:rFonts w:ascii="仿宋" w:eastAsia="仿宋" w:hAnsi="仿宋" w:cs="仿宋" w:hint="eastAsia"/>
          <w:b/>
          <w:bCs/>
          <w:color w:val="000000"/>
          <w:sz w:val="32"/>
          <w:szCs w:val="32"/>
        </w:rPr>
        <w:t>其他国内公务接待支出</w:t>
      </w:r>
      <w:r w:rsidR="00EE266A">
        <w:rPr>
          <w:rFonts w:ascii="仿宋_GB2312" w:eastAsia="仿宋_GB2312" w:cs="仿宋_GB2312" w:hint="eastAsia"/>
          <w:b/>
          <w:bCs/>
          <w:color w:val="000000"/>
          <w:sz w:val="32"/>
          <w:szCs w:val="32"/>
        </w:rPr>
        <w:t>0.77</w:t>
      </w:r>
      <w:r w:rsidRPr="00810D56">
        <w:rPr>
          <w:rFonts w:ascii="仿宋" w:eastAsia="仿宋" w:hAnsi="仿宋" w:cs="仿宋" w:hint="eastAsia"/>
          <w:b/>
          <w:bCs/>
          <w:color w:val="000000"/>
          <w:sz w:val="32"/>
          <w:szCs w:val="32"/>
        </w:rPr>
        <w:t>万元</w:t>
      </w:r>
      <w:bookmarkStart w:id="37" w:name="_Toc15377218"/>
      <w:bookmarkStart w:id="38" w:name="_Toc15396610"/>
      <w:r w:rsidRPr="00810D56">
        <w:rPr>
          <w:rFonts w:ascii="仿宋" w:eastAsia="仿宋" w:hAnsi="仿宋" w:cs="仿宋" w:hint="eastAsia"/>
          <w:b/>
          <w:bCs/>
          <w:color w:val="000000"/>
          <w:sz w:val="32"/>
          <w:szCs w:val="32"/>
        </w:rPr>
        <w:t>。</w:t>
      </w:r>
    </w:p>
    <w:p w:rsidR="00387396" w:rsidRPr="008E2557" w:rsidRDefault="00387396" w:rsidP="00387396">
      <w:pPr>
        <w:spacing w:line="600" w:lineRule="exact"/>
        <w:ind w:firstLine="640"/>
        <w:outlineLvl w:val="1"/>
        <w:rPr>
          <w:rFonts w:ascii="黑体" w:eastAsia="黑体" w:hAnsi="黑体"/>
          <w:bCs/>
          <w:sz w:val="32"/>
          <w:szCs w:val="32"/>
        </w:rPr>
      </w:pPr>
      <w:r w:rsidRPr="008E2557">
        <w:rPr>
          <w:rFonts w:ascii="黑体" w:eastAsia="黑体" w:hAnsi="黑体" w:cs="仿宋" w:hint="eastAsia"/>
          <w:bCs/>
          <w:sz w:val="32"/>
          <w:szCs w:val="32"/>
        </w:rPr>
        <w:t>八、政府性基金预算支出决算情况说明</w:t>
      </w:r>
      <w:bookmarkEnd w:id="37"/>
      <w:bookmarkEnd w:id="38"/>
    </w:p>
    <w:p w:rsidR="00387396" w:rsidRDefault="00506E7B" w:rsidP="00387396">
      <w:pPr>
        <w:spacing w:line="600" w:lineRule="exact"/>
        <w:ind w:firstLine="640"/>
        <w:rPr>
          <w:rFonts w:ascii="仿宋_GB2312" w:eastAsia="仿宋_GB2312"/>
          <w:color w:val="000000"/>
          <w:sz w:val="32"/>
          <w:szCs w:val="32"/>
        </w:rPr>
      </w:pPr>
      <w:r w:rsidRPr="0016413A">
        <w:rPr>
          <w:rFonts w:ascii="仿宋_GB2312" w:eastAsia="仿宋_GB2312" w:cs="仿宋_GB2312" w:hint="eastAsia"/>
          <w:color w:val="000000"/>
          <w:sz w:val="32"/>
          <w:szCs w:val="32"/>
        </w:rPr>
        <w:t>本单位不涉及</w:t>
      </w:r>
      <w:r w:rsidR="00387396">
        <w:rPr>
          <w:rFonts w:ascii="仿宋_GB2312" w:eastAsia="仿宋_GB2312" w:cs="仿宋_GB2312" w:hint="eastAsia"/>
          <w:color w:val="000000"/>
          <w:sz w:val="32"/>
          <w:szCs w:val="32"/>
        </w:rPr>
        <w:t>政府性基金预算拨款支出。</w:t>
      </w:r>
    </w:p>
    <w:p w:rsidR="00387396" w:rsidRPr="008E2557" w:rsidRDefault="00387396" w:rsidP="00387396">
      <w:pPr>
        <w:numPr>
          <w:ilvl w:val="0"/>
          <w:numId w:val="2"/>
        </w:numPr>
        <w:spacing w:line="600" w:lineRule="exact"/>
        <w:ind w:firstLine="640"/>
        <w:outlineLvl w:val="1"/>
        <w:rPr>
          <w:rFonts w:ascii="黑体" w:eastAsia="黑体" w:hAnsi="黑体"/>
          <w:bCs/>
          <w:sz w:val="32"/>
          <w:szCs w:val="32"/>
        </w:rPr>
      </w:pPr>
      <w:bookmarkStart w:id="39" w:name="_Toc15377219"/>
      <w:bookmarkStart w:id="40" w:name="_Toc15396611"/>
      <w:r w:rsidRPr="008E2557">
        <w:rPr>
          <w:rFonts w:ascii="黑体" w:eastAsia="黑体" w:hAnsi="黑体" w:cs="仿宋" w:hint="eastAsia"/>
          <w:bCs/>
          <w:sz w:val="32"/>
          <w:szCs w:val="32"/>
        </w:rPr>
        <w:t>国有资本经营预算支出决算情况说明</w:t>
      </w:r>
      <w:bookmarkEnd w:id="39"/>
      <w:bookmarkEnd w:id="40"/>
    </w:p>
    <w:p w:rsidR="00387396" w:rsidRDefault="00927849" w:rsidP="00387396">
      <w:pPr>
        <w:spacing w:line="600" w:lineRule="exact"/>
        <w:ind w:firstLineChars="200" w:firstLine="640"/>
        <w:rPr>
          <w:rFonts w:ascii="仿宋_GB2312" w:eastAsia="仿宋_GB2312" w:cs="仿宋_GB2312"/>
          <w:color w:val="000000"/>
          <w:sz w:val="32"/>
          <w:szCs w:val="32"/>
        </w:rPr>
      </w:pPr>
      <w:r w:rsidRPr="0016413A">
        <w:rPr>
          <w:rFonts w:ascii="仿宋_GB2312" w:eastAsia="仿宋_GB2312" w:cs="仿宋_GB2312" w:hint="eastAsia"/>
          <w:color w:val="000000"/>
          <w:sz w:val="32"/>
          <w:szCs w:val="32"/>
        </w:rPr>
        <w:t>本单位不涉及国有资本经营预算支出。</w:t>
      </w:r>
    </w:p>
    <w:p w:rsidR="005F7E18" w:rsidRPr="008E2557" w:rsidRDefault="005F7E18" w:rsidP="008E2557">
      <w:pPr>
        <w:spacing w:line="600" w:lineRule="exact"/>
        <w:ind w:firstLineChars="250" w:firstLine="800"/>
        <w:outlineLvl w:val="1"/>
        <w:rPr>
          <w:rStyle w:val="2Char"/>
          <w:rFonts w:ascii="黑体" w:eastAsia="黑体" w:hAnsi="黑体"/>
          <w:b w:val="0"/>
        </w:rPr>
      </w:pPr>
      <w:bookmarkStart w:id="41" w:name="_Toc15396612"/>
      <w:bookmarkStart w:id="42" w:name="_Toc15377221"/>
      <w:r w:rsidRPr="008E2557">
        <w:rPr>
          <w:rFonts w:ascii="黑体" w:eastAsia="黑体" w:hAnsi="黑体" w:hint="eastAsia"/>
          <w:color w:val="000000"/>
          <w:sz w:val="32"/>
          <w:szCs w:val="32"/>
        </w:rPr>
        <w:lastRenderedPageBreak/>
        <w:t>十</w:t>
      </w:r>
      <w:r w:rsidRPr="008E2557">
        <w:rPr>
          <w:rStyle w:val="2Char"/>
          <w:rFonts w:ascii="黑体" w:eastAsia="黑体" w:hAnsi="黑体" w:hint="eastAsia"/>
          <w:b w:val="0"/>
        </w:rPr>
        <w:t>、其他重要事项的情况说明</w:t>
      </w:r>
      <w:bookmarkEnd w:id="41"/>
      <w:bookmarkEnd w:id="42"/>
    </w:p>
    <w:p w:rsidR="005F7E18" w:rsidRDefault="005F7E18" w:rsidP="005F7E18">
      <w:pPr>
        <w:spacing w:line="600" w:lineRule="exact"/>
        <w:ind w:firstLineChars="200" w:firstLine="643"/>
        <w:outlineLvl w:val="2"/>
        <w:rPr>
          <w:rFonts w:ascii="仿宋" w:eastAsia="仿宋" w:hAnsi="仿宋"/>
          <w:color w:val="000000"/>
          <w:sz w:val="32"/>
          <w:szCs w:val="32"/>
        </w:rPr>
      </w:pPr>
      <w:bookmarkStart w:id="43" w:name="_Toc15377222"/>
      <w:r>
        <w:rPr>
          <w:rFonts w:ascii="仿宋" w:eastAsia="仿宋" w:hAnsi="仿宋" w:hint="eastAsia"/>
          <w:b/>
          <w:color w:val="000000"/>
          <w:sz w:val="32"/>
          <w:szCs w:val="32"/>
        </w:rPr>
        <w:t>（一）机关运行经费支出情况</w:t>
      </w:r>
      <w:bookmarkEnd w:id="43"/>
    </w:p>
    <w:p w:rsidR="005F7E18" w:rsidRDefault="005F7E18" w:rsidP="005F7E18">
      <w:pPr>
        <w:spacing w:line="600" w:lineRule="exact"/>
        <w:ind w:firstLineChars="200" w:firstLine="640"/>
        <w:rPr>
          <w:rFonts w:ascii="仿宋_GB2312" w:eastAsia="仿宋_GB2312"/>
          <w:color w:val="000000" w:themeColor="text1"/>
          <w:sz w:val="32"/>
          <w:szCs w:val="32"/>
        </w:rPr>
      </w:pPr>
      <w:r>
        <w:rPr>
          <w:rFonts w:ascii="仿宋_GB2312" w:eastAsia="仿宋_GB2312"/>
          <w:color w:val="000000"/>
          <w:sz w:val="32"/>
          <w:szCs w:val="32"/>
        </w:rPr>
        <w:t>20</w:t>
      </w:r>
      <w:r w:rsidR="001A121F">
        <w:rPr>
          <w:rFonts w:ascii="仿宋_GB2312" w:eastAsia="仿宋_GB2312" w:hint="eastAsia"/>
          <w:color w:val="000000"/>
          <w:sz w:val="32"/>
          <w:szCs w:val="32"/>
        </w:rPr>
        <w:t>21</w:t>
      </w:r>
      <w:r>
        <w:rPr>
          <w:rFonts w:ascii="仿宋_GB2312" w:eastAsia="仿宋_GB2312" w:hint="eastAsia"/>
          <w:color w:val="000000"/>
          <w:sz w:val="32"/>
          <w:szCs w:val="32"/>
        </w:rPr>
        <w:t>年，</w:t>
      </w:r>
      <w:r w:rsidR="00773055">
        <w:rPr>
          <w:rFonts w:ascii="仿宋_GB2312" w:eastAsia="仿宋_GB2312" w:cs="仿宋_GB2312" w:hint="eastAsia"/>
          <w:sz w:val="32"/>
          <w:szCs w:val="32"/>
        </w:rPr>
        <w:t>德阳市城市管理行政执法局机关</w:t>
      </w:r>
      <w:r>
        <w:rPr>
          <w:rFonts w:ascii="仿宋_GB2312" w:eastAsia="仿宋_GB2312" w:hint="eastAsia"/>
          <w:color w:val="000000"/>
          <w:sz w:val="32"/>
          <w:szCs w:val="32"/>
        </w:rPr>
        <w:t>运行经费支出</w:t>
      </w:r>
      <w:r w:rsidR="001A121F">
        <w:rPr>
          <w:rFonts w:ascii="仿宋_GB2312" w:eastAsia="仿宋_GB2312" w:hint="eastAsia"/>
          <w:color w:val="000000"/>
          <w:sz w:val="32"/>
          <w:szCs w:val="32"/>
        </w:rPr>
        <w:t>618.73</w:t>
      </w:r>
      <w:r>
        <w:rPr>
          <w:rFonts w:ascii="仿宋_GB2312" w:eastAsia="仿宋_GB2312" w:hint="eastAsia"/>
          <w:color w:val="000000"/>
          <w:sz w:val="32"/>
          <w:szCs w:val="32"/>
        </w:rPr>
        <w:t>万元，比</w:t>
      </w:r>
      <w:r>
        <w:rPr>
          <w:rFonts w:ascii="仿宋_GB2312" w:eastAsia="仿宋_GB2312"/>
          <w:color w:val="000000"/>
          <w:sz w:val="32"/>
          <w:szCs w:val="32"/>
        </w:rPr>
        <w:t>20</w:t>
      </w:r>
      <w:r w:rsidR="001A121F">
        <w:rPr>
          <w:rFonts w:ascii="仿宋_GB2312" w:eastAsia="仿宋_GB2312" w:hint="eastAsia"/>
          <w:color w:val="000000"/>
          <w:sz w:val="32"/>
          <w:szCs w:val="32"/>
        </w:rPr>
        <w:t>20</w:t>
      </w:r>
      <w:r w:rsidR="00235DD1">
        <w:rPr>
          <w:rFonts w:ascii="仿宋_GB2312" w:eastAsia="仿宋_GB2312" w:hint="eastAsia"/>
          <w:color w:val="000000"/>
          <w:sz w:val="32"/>
          <w:szCs w:val="32"/>
        </w:rPr>
        <w:t>年</w:t>
      </w:r>
      <w:r w:rsidR="001A121F">
        <w:rPr>
          <w:rFonts w:ascii="仿宋_GB2312" w:eastAsia="仿宋_GB2312" w:hint="eastAsia"/>
          <w:color w:val="000000"/>
          <w:sz w:val="32"/>
          <w:szCs w:val="32"/>
        </w:rPr>
        <w:t>增加9.38</w:t>
      </w:r>
      <w:r>
        <w:rPr>
          <w:rFonts w:ascii="仿宋_GB2312" w:eastAsia="仿宋_GB2312" w:hint="eastAsia"/>
          <w:color w:val="000000"/>
          <w:sz w:val="32"/>
          <w:szCs w:val="32"/>
        </w:rPr>
        <w:t>万元，</w:t>
      </w:r>
      <w:r w:rsidR="001A121F">
        <w:rPr>
          <w:rFonts w:ascii="仿宋_GB2312" w:eastAsia="仿宋_GB2312" w:hint="eastAsia"/>
          <w:color w:val="000000"/>
          <w:sz w:val="32"/>
          <w:szCs w:val="32"/>
        </w:rPr>
        <w:t>增加1.54</w:t>
      </w:r>
      <w:r>
        <w:rPr>
          <w:rFonts w:ascii="仿宋_GB2312" w:eastAsia="仿宋_GB2312"/>
          <w:color w:val="000000"/>
          <w:sz w:val="32"/>
          <w:szCs w:val="32"/>
        </w:rPr>
        <w:t>%</w:t>
      </w:r>
      <w:r>
        <w:rPr>
          <w:rFonts w:ascii="仿宋_GB2312" w:eastAsia="仿宋_GB2312" w:hint="eastAsia"/>
          <w:color w:val="000000"/>
          <w:sz w:val="32"/>
          <w:szCs w:val="32"/>
        </w:rPr>
        <w:t>。</w:t>
      </w:r>
      <w:r>
        <w:rPr>
          <w:rFonts w:ascii="仿宋_GB2312" w:eastAsia="仿宋_GB2312" w:hint="eastAsia"/>
          <w:color w:val="000000" w:themeColor="text1"/>
          <w:sz w:val="32"/>
          <w:szCs w:val="32"/>
        </w:rPr>
        <w:t>主要原因是</w:t>
      </w:r>
      <w:r w:rsidR="001A121F">
        <w:rPr>
          <w:rFonts w:ascii="仿宋_GB2312" w:eastAsia="仿宋_GB2312" w:hint="eastAsia"/>
          <w:color w:val="000000" w:themeColor="text1"/>
          <w:sz w:val="32"/>
          <w:szCs w:val="32"/>
        </w:rPr>
        <w:t>人员增加公用经费增加</w:t>
      </w:r>
      <w:r w:rsidR="00AB0E6E">
        <w:rPr>
          <w:rFonts w:ascii="仿宋_GB2312" w:eastAsia="仿宋_GB2312" w:hint="eastAsia"/>
          <w:color w:val="000000" w:themeColor="text1"/>
          <w:sz w:val="32"/>
          <w:szCs w:val="32"/>
        </w:rPr>
        <w:t>。</w:t>
      </w:r>
    </w:p>
    <w:p w:rsidR="005F7E18" w:rsidRDefault="005F7E18" w:rsidP="005F7E18">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44" w:name="_Toc15377223"/>
      <w:r>
        <w:rPr>
          <w:rFonts w:ascii="仿宋" w:eastAsia="仿宋" w:hAnsi="仿宋" w:hint="eastAsia"/>
          <w:b/>
          <w:color w:val="000000"/>
          <w:sz w:val="32"/>
          <w:szCs w:val="32"/>
        </w:rPr>
        <w:t>（二）政府采购支出情况</w:t>
      </w:r>
      <w:bookmarkEnd w:id="44"/>
    </w:p>
    <w:p w:rsidR="005F7E18" w:rsidRDefault="001A121F" w:rsidP="005F7E18">
      <w:pPr>
        <w:spacing w:line="6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w:t>
      </w:r>
      <w:r w:rsidR="005F7E18">
        <w:rPr>
          <w:rFonts w:ascii="仿宋_GB2312" w:eastAsia="仿宋_GB2312" w:hint="eastAsia"/>
          <w:color w:val="000000"/>
          <w:sz w:val="32"/>
          <w:szCs w:val="32"/>
        </w:rPr>
        <w:t>年，</w:t>
      </w:r>
      <w:r w:rsidR="00773055">
        <w:rPr>
          <w:rFonts w:ascii="仿宋_GB2312" w:eastAsia="仿宋_GB2312" w:cs="仿宋_GB2312" w:hint="eastAsia"/>
          <w:sz w:val="32"/>
          <w:szCs w:val="32"/>
        </w:rPr>
        <w:t>德阳市城市管理行政执法局</w:t>
      </w:r>
      <w:r w:rsidR="005F7E18">
        <w:rPr>
          <w:rFonts w:ascii="仿宋_GB2312" w:eastAsia="仿宋_GB2312" w:hint="eastAsia"/>
          <w:color w:val="000000"/>
          <w:sz w:val="32"/>
          <w:szCs w:val="32"/>
        </w:rPr>
        <w:t>政府采购支出总额</w:t>
      </w:r>
      <w:r>
        <w:rPr>
          <w:rFonts w:ascii="仿宋_GB2312" w:eastAsia="仿宋_GB2312" w:hint="eastAsia"/>
          <w:color w:val="000000"/>
          <w:sz w:val="32"/>
          <w:szCs w:val="32"/>
        </w:rPr>
        <w:t>86.18</w:t>
      </w:r>
      <w:r w:rsidR="005F7E18">
        <w:rPr>
          <w:rFonts w:ascii="仿宋_GB2312" w:eastAsia="仿宋_GB2312" w:hint="eastAsia"/>
          <w:color w:val="000000"/>
          <w:sz w:val="32"/>
          <w:szCs w:val="32"/>
        </w:rPr>
        <w:t>万元，其中：政府采购货物支出</w:t>
      </w:r>
      <w:r>
        <w:rPr>
          <w:rFonts w:ascii="仿宋_GB2312" w:eastAsia="仿宋_GB2312" w:hint="eastAsia"/>
          <w:color w:val="000000"/>
          <w:sz w:val="32"/>
          <w:szCs w:val="32"/>
        </w:rPr>
        <w:t>76.00</w:t>
      </w:r>
      <w:r w:rsidR="005F7E18">
        <w:rPr>
          <w:rFonts w:ascii="仿宋_GB2312" w:eastAsia="仿宋_GB2312" w:hint="eastAsia"/>
          <w:color w:val="000000"/>
          <w:sz w:val="32"/>
          <w:szCs w:val="32"/>
        </w:rPr>
        <w:t>万元、政府采购工程支出</w:t>
      </w:r>
      <w:r w:rsidR="001175EE">
        <w:rPr>
          <w:rFonts w:ascii="仿宋_GB2312" w:eastAsia="仿宋_GB2312" w:hint="eastAsia"/>
          <w:color w:val="000000"/>
          <w:sz w:val="32"/>
          <w:szCs w:val="32"/>
        </w:rPr>
        <w:t>0</w:t>
      </w:r>
      <w:r w:rsidR="005F7E18">
        <w:rPr>
          <w:rFonts w:ascii="仿宋_GB2312" w:eastAsia="仿宋_GB2312" w:hint="eastAsia"/>
          <w:color w:val="000000"/>
          <w:sz w:val="32"/>
          <w:szCs w:val="32"/>
        </w:rPr>
        <w:t>万元、政府采购服务支出</w:t>
      </w:r>
      <w:r>
        <w:rPr>
          <w:rFonts w:ascii="仿宋_GB2312" w:eastAsia="仿宋_GB2312" w:hint="eastAsia"/>
          <w:color w:val="000000"/>
          <w:sz w:val="32"/>
          <w:szCs w:val="32"/>
        </w:rPr>
        <w:t>10.18</w:t>
      </w:r>
      <w:r w:rsidR="005F7E18">
        <w:rPr>
          <w:rFonts w:ascii="仿宋_GB2312" w:eastAsia="仿宋_GB2312" w:hint="eastAsia"/>
          <w:color w:val="000000"/>
          <w:sz w:val="32"/>
          <w:szCs w:val="32"/>
        </w:rPr>
        <w:t>万元。</w:t>
      </w:r>
      <w:r w:rsidR="005F7E18" w:rsidRPr="00CF7A6F">
        <w:rPr>
          <w:rFonts w:ascii="仿宋_GB2312" w:eastAsia="仿宋_GB2312" w:hint="eastAsia"/>
          <w:color w:val="000000" w:themeColor="text1"/>
          <w:sz w:val="32"/>
          <w:szCs w:val="32"/>
        </w:rPr>
        <w:t>主要用</w:t>
      </w:r>
      <w:r w:rsidR="001175EE">
        <w:rPr>
          <w:rFonts w:ascii="仿宋_GB2312" w:eastAsia="仿宋_GB2312" w:hint="eastAsia"/>
          <w:color w:val="000000" w:themeColor="text1"/>
          <w:sz w:val="32"/>
          <w:szCs w:val="32"/>
        </w:rPr>
        <w:t>物业管理、公务用车购置</w:t>
      </w:r>
      <w:r w:rsidR="00CF7A6F">
        <w:rPr>
          <w:rFonts w:ascii="仿宋_GB2312" w:eastAsia="仿宋_GB2312" w:hint="eastAsia"/>
          <w:color w:val="000000" w:themeColor="text1"/>
          <w:sz w:val="32"/>
          <w:szCs w:val="32"/>
        </w:rPr>
        <w:t>等</w:t>
      </w:r>
      <w:r w:rsidR="005F7E18" w:rsidRPr="00CF7A6F">
        <w:rPr>
          <w:rFonts w:ascii="仿宋_GB2312" w:eastAsia="仿宋_GB2312" w:hint="eastAsia"/>
          <w:color w:val="000000" w:themeColor="text1"/>
          <w:sz w:val="32"/>
          <w:szCs w:val="32"/>
        </w:rPr>
        <w:t>。授予中小企业合同金额</w:t>
      </w:r>
      <w:r>
        <w:rPr>
          <w:rFonts w:ascii="仿宋_GB2312" w:eastAsia="仿宋_GB2312" w:hint="eastAsia"/>
          <w:color w:val="000000" w:themeColor="text1"/>
          <w:sz w:val="32"/>
          <w:szCs w:val="32"/>
        </w:rPr>
        <w:t>76.00</w:t>
      </w:r>
      <w:r w:rsidR="005F7E18" w:rsidRPr="00CF7A6F">
        <w:rPr>
          <w:rFonts w:ascii="仿宋_GB2312" w:eastAsia="仿宋_GB2312" w:hint="eastAsia"/>
          <w:color w:val="000000" w:themeColor="text1"/>
          <w:sz w:val="32"/>
          <w:szCs w:val="32"/>
        </w:rPr>
        <w:t>万元，占政府采购支出总额的</w:t>
      </w:r>
      <w:r w:rsidR="001175EE">
        <w:rPr>
          <w:rFonts w:ascii="仿宋_GB2312" w:eastAsia="仿宋_GB2312" w:hint="eastAsia"/>
          <w:color w:val="000000" w:themeColor="text1"/>
          <w:sz w:val="32"/>
          <w:szCs w:val="32"/>
        </w:rPr>
        <w:t>88.</w:t>
      </w:r>
      <w:r>
        <w:rPr>
          <w:rFonts w:ascii="仿宋_GB2312" w:eastAsia="仿宋_GB2312" w:hint="eastAsia"/>
          <w:color w:val="000000" w:themeColor="text1"/>
          <w:sz w:val="32"/>
          <w:szCs w:val="32"/>
        </w:rPr>
        <w:t>19</w:t>
      </w:r>
      <w:r w:rsidR="005F7E18" w:rsidRPr="00CF7A6F">
        <w:rPr>
          <w:rFonts w:ascii="仿宋_GB2312" w:eastAsia="仿宋_GB2312"/>
          <w:color w:val="000000" w:themeColor="text1"/>
          <w:sz w:val="32"/>
          <w:szCs w:val="32"/>
        </w:rPr>
        <w:t>%</w:t>
      </w:r>
      <w:r w:rsidR="005F7E18" w:rsidRPr="00CF7A6F">
        <w:rPr>
          <w:rFonts w:ascii="仿宋_GB2312" w:eastAsia="仿宋_GB2312" w:hint="eastAsia"/>
          <w:color w:val="000000" w:themeColor="text1"/>
          <w:sz w:val="32"/>
          <w:szCs w:val="32"/>
        </w:rPr>
        <w:t>，其中</w:t>
      </w:r>
      <w:r w:rsidR="005F7E18">
        <w:rPr>
          <w:rFonts w:ascii="仿宋_GB2312" w:eastAsia="仿宋_GB2312" w:hint="eastAsia"/>
          <w:color w:val="000000"/>
          <w:sz w:val="32"/>
          <w:szCs w:val="32"/>
        </w:rPr>
        <w:t>：授予小</w:t>
      </w:r>
      <w:proofErr w:type="gramStart"/>
      <w:r w:rsidR="005F7E18">
        <w:rPr>
          <w:rFonts w:ascii="仿宋_GB2312" w:eastAsia="仿宋_GB2312" w:hint="eastAsia"/>
          <w:color w:val="000000"/>
          <w:sz w:val="32"/>
          <w:szCs w:val="32"/>
        </w:rPr>
        <w:t>微企业</w:t>
      </w:r>
      <w:proofErr w:type="gramEnd"/>
      <w:r w:rsidR="005F7E18">
        <w:rPr>
          <w:rFonts w:ascii="仿宋_GB2312" w:eastAsia="仿宋_GB2312" w:hint="eastAsia"/>
          <w:color w:val="000000"/>
          <w:sz w:val="32"/>
          <w:szCs w:val="32"/>
        </w:rPr>
        <w:t>合同金额</w:t>
      </w:r>
      <w:r>
        <w:rPr>
          <w:rFonts w:ascii="仿宋_GB2312" w:eastAsia="仿宋_GB2312" w:hint="eastAsia"/>
          <w:color w:val="000000"/>
          <w:sz w:val="32"/>
          <w:szCs w:val="32"/>
        </w:rPr>
        <w:t>7.71</w:t>
      </w:r>
      <w:r w:rsidR="005F7E18">
        <w:rPr>
          <w:rFonts w:ascii="仿宋_GB2312" w:eastAsia="仿宋_GB2312" w:hint="eastAsia"/>
          <w:color w:val="000000"/>
          <w:sz w:val="32"/>
          <w:szCs w:val="32"/>
        </w:rPr>
        <w:t>万元</w:t>
      </w:r>
      <w:r w:rsidR="00A65DC5">
        <w:rPr>
          <w:rFonts w:ascii="仿宋_GB2312" w:eastAsia="仿宋_GB2312" w:hint="eastAsia"/>
          <w:color w:val="000000"/>
          <w:sz w:val="32"/>
          <w:szCs w:val="32"/>
        </w:rPr>
        <w:t>，</w:t>
      </w:r>
      <w:r w:rsidR="00A65DC5" w:rsidRPr="00CF7A6F">
        <w:rPr>
          <w:rFonts w:ascii="仿宋_GB2312" w:eastAsia="仿宋_GB2312" w:hint="eastAsia"/>
          <w:color w:val="000000" w:themeColor="text1"/>
          <w:sz w:val="32"/>
          <w:szCs w:val="32"/>
        </w:rPr>
        <w:t>占政府采购支出总额的</w:t>
      </w:r>
      <w:r>
        <w:rPr>
          <w:rFonts w:ascii="仿宋_GB2312" w:eastAsia="仿宋_GB2312" w:hint="eastAsia"/>
          <w:color w:val="000000" w:themeColor="text1"/>
          <w:sz w:val="32"/>
          <w:szCs w:val="32"/>
        </w:rPr>
        <w:t>10.14</w:t>
      </w:r>
      <w:r w:rsidR="00A65DC5" w:rsidRPr="00CF7A6F">
        <w:rPr>
          <w:rFonts w:ascii="仿宋_GB2312" w:eastAsia="仿宋_GB2312"/>
          <w:color w:val="000000" w:themeColor="text1"/>
          <w:sz w:val="32"/>
          <w:szCs w:val="32"/>
        </w:rPr>
        <w:t>%</w:t>
      </w:r>
      <w:r w:rsidR="005F7E18">
        <w:rPr>
          <w:rFonts w:ascii="仿宋_GB2312" w:eastAsia="仿宋_GB2312" w:hint="eastAsia"/>
          <w:color w:val="000000"/>
          <w:sz w:val="32"/>
          <w:szCs w:val="32"/>
        </w:rPr>
        <w:t>。</w:t>
      </w:r>
    </w:p>
    <w:p w:rsidR="005F7E18" w:rsidRDefault="005F7E18" w:rsidP="005F7E18">
      <w:pPr>
        <w:autoSpaceDE w:val="0"/>
        <w:autoSpaceDN w:val="0"/>
        <w:adjustRightInd w:val="0"/>
        <w:spacing w:line="600" w:lineRule="exact"/>
        <w:ind w:firstLineChars="200" w:firstLine="643"/>
        <w:jc w:val="left"/>
        <w:outlineLvl w:val="2"/>
        <w:rPr>
          <w:rFonts w:ascii="仿宋" w:eastAsia="仿宋" w:hAnsi="仿宋"/>
          <w:b/>
          <w:color w:val="000000"/>
          <w:sz w:val="32"/>
          <w:szCs w:val="32"/>
        </w:rPr>
      </w:pPr>
      <w:bookmarkStart w:id="45" w:name="_Toc15377224"/>
      <w:r>
        <w:rPr>
          <w:rFonts w:ascii="仿宋" w:eastAsia="仿宋" w:hAnsi="仿宋" w:hint="eastAsia"/>
          <w:b/>
          <w:color w:val="000000"/>
          <w:sz w:val="32"/>
          <w:szCs w:val="32"/>
        </w:rPr>
        <w:t>（三）国有资产占有使用情况</w:t>
      </w:r>
      <w:bookmarkEnd w:id="45"/>
    </w:p>
    <w:p w:rsidR="005F7E18" w:rsidRDefault="005F7E18" w:rsidP="005F7E18">
      <w:pPr>
        <w:autoSpaceDE w:val="0"/>
        <w:autoSpaceDN w:val="0"/>
        <w:adjustRightInd w:val="0"/>
        <w:spacing w:line="600" w:lineRule="exact"/>
        <w:ind w:firstLineChars="200" w:firstLine="640"/>
        <w:jc w:val="left"/>
        <w:rPr>
          <w:rFonts w:ascii="仿宋" w:eastAsia="仿宋" w:hAnsi="仿宋"/>
          <w:b/>
          <w:color w:val="FF0000"/>
          <w:sz w:val="32"/>
          <w:szCs w:val="32"/>
        </w:rPr>
      </w:pPr>
      <w:r>
        <w:rPr>
          <w:rFonts w:ascii="仿宋_GB2312" w:eastAsia="仿宋_GB2312" w:hint="eastAsia"/>
          <w:color w:val="000000"/>
          <w:sz w:val="32"/>
          <w:szCs w:val="32"/>
        </w:rPr>
        <w:t>截至</w:t>
      </w:r>
      <w:r>
        <w:rPr>
          <w:rFonts w:ascii="仿宋_GB2312" w:eastAsia="仿宋_GB2312"/>
          <w:color w:val="000000"/>
          <w:sz w:val="32"/>
          <w:szCs w:val="32"/>
        </w:rPr>
        <w:t>20</w:t>
      </w:r>
      <w:r w:rsidR="00D65D47">
        <w:rPr>
          <w:rFonts w:ascii="仿宋_GB2312" w:eastAsia="仿宋_GB2312" w:hint="eastAsia"/>
          <w:color w:val="000000"/>
          <w:sz w:val="32"/>
          <w:szCs w:val="32"/>
        </w:rPr>
        <w:t>21</w:t>
      </w:r>
      <w:r>
        <w:rPr>
          <w:rFonts w:ascii="仿宋_GB2312" w:eastAsia="仿宋_GB2312" w:hint="eastAsia"/>
          <w:color w:val="000000"/>
          <w:sz w:val="32"/>
          <w:szCs w:val="32"/>
        </w:rPr>
        <w:t>年</w:t>
      </w:r>
      <w:r>
        <w:rPr>
          <w:rFonts w:ascii="仿宋_GB2312" w:eastAsia="仿宋_GB2312"/>
          <w:color w:val="000000"/>
          <w:sz w:val="32"/>
          <w:szCs w:val="32"/>
        </w:rPr>
        <w:t>12</w:t>
      </w:r>
      <w:r>
        <w:rPr>
          <w:rFonts w:ascii="仿宋_GB2312" w:eastAsia="仿宋_GB2312" w:hint="eastAsia"/>
          <w:color w:val="000000"/>
          <w:sz w:val="32"/>
          <w:szCs w:val="32"/>
        </w:rPr>
        <w:t>月</w:t>
      </w:r>
      <w:r>
        <w:rPr>
          <w:rFonts w:ascii="仿宋_GB2312" w:eastAsia="仿宋_GB2312"/>
          <w:color w:val="000000"/>
          <w:sz w:val="32"/>
          <w:szCs w:val="32"/>
        </w:rPr>
        <w:t>31</w:t>
      </w:r>
      <w:r>
        <w:rPr>
          <w:rFonts w:ascii="仿宋_GB2312" w:eastAsia="仿宋_GB2312" w:hint="eastAsia"/>
          <w:color w:val="000000"/>
          <w:sz w:val="32"/>
          <w:szCs w:val="32"/>
        </w:rPr>
        <w:t>日，</w:t>
      </w:r>
      <w:r w:rsidR="00773055">
        <w:rPr>
          <w:rFonts w:ascii="仿宋_GB2312" w:eastAsia="仿宋_GB2312" w:cs="仿宋_GB2312" w:hint="eastAsia"/>
          <w:sz w:val="32"/>
          <w:szCs w:val="32"/>
        </w:rPr>
        <w:t>德阳市城市管理行政执法局</w:t>
      </w:r>
      <w:r>
        <w:rPr>
          <w:rFonts w:ascii="仿宋_GB2312" w:eastAsia="仿宋_GB2312" w:hint="eastAsia"/>
          <w:color w:val="000000"/>
          <w:sz w:val="32"/>
          <w:szCs w:val="32"/>
        </w:rPr>
        <w:t>共有车辆</w:t>
      </w:r>
      <w:r w:rsidR="009A61AF">
        <w:rPr>
          <w:rFonts w:ascii="仿宋_GB2312" w:eastAsia="仿宋_GB2312" w:hint="eastAsia"/>
          <w:color w:val="000000"/>
          <w:sz w:val="32"/>
          <w:szCs w:val="32"/>
        </w:rPr>
        <w:t>5</w:t>
      </w:r>
      <w:r w:rsidR="00972829">
        <w:rPr>
          <w:rFonts w:ascii="仿宋_GB2312" w:eastAsia="仿宋_GB2312" w:hint="eastAsia"/>
          <w:color w:val="000000"/>
          <w:sz w:val="32"/>
          <w:szCs w:val="32"/>
        </w:rPr>
        <w:t>0</w:t>
      </w:r>
      <w:r>
        <w:rPr>
          <w:rFonts w:ascii="仿宋_GB2312" w:eastAsia="仿宋_GB2312" w:hint="eastAsia"/>
          <w:color w:val="000000"/>
          <w:sz w:val="32"/>
          <w:szCs w:val="32"/>
        </w:rPr>
        <w:t>辆，其中：主要领导干部用车</w:t>
      </w:r>
      <w:r w:rsidR="00773055">
        <w:rPr>
          <w:rFonts w:ascii="仿宋_GB2312" w:eastAsia="仿宋_GB2312" w:hint="eastAsia"/>
          <w:color w:val="000000"/>
          <w:sz w:val="32"/>
          <w:szCs w:val="32"/>
        </w:rPr>
        <w:t>0</w:t>
      </w:r>
      <w:r>
        <w:rPr>
          <w:rFonts w:ascii="仿宋_GB2312" w:eastAsia="仿宋_GB2312" w:hint="eastAsia"/>
          <w:color w:val="000000"/>
          <w:sz w:val="32"/>
          <w:szCs w:val="32"/>
        </w:rPr>
        <w:t>辆、机要通信用车</w:t>
      </w:r>
      <w:r w:rsidR="00B21270">
        <w:rPr>
          <w:rFonts w:ascii="仿宋_GB2312" w:eastAsia="仿宋_GB2312" w:hint="eastAsia"/>
          <w:color w:val="000000"/>
          <w:sz w:val="32"/>
          <w:szCs w:val="32"/>
        </w:rPr>
        <w:t>0</w:t>
      </w:r>
      <w:r>
        <w:rPr>
          <w:rFonts w:ascii="仿宋_GB2312" w:eastAsia="仿宋_GB2312" w:hint="eastAsia"/>
          <w:color w:val="000000"/>
          <w:sz w:val="32"/>
          <w:szCs w:val="32"/>
        </w:rPr>
        <w:t>辆、应急保障用车</w:t>
      </w:r>
      <w:r w:rsidR="009A61AF">
        <w:rPr>
          <w:rFonts w:ascii="仿宋_GB2312" w:eastAsia="仿宋_GB2312" w:hint="eastAsia"/>
          <w:color w:val="000000"/>
          <w:sz w:val="32"/>
          <w:szCs w:val="32"/>
        </w:rPr>
        <w:t>1</w:t>
      </w:r>
      <w:r>
        <w:rPr>
          <w:rFonts w:ascii="仿宋_GB2312" w:eastAsia="仿宋_GB2312" w:hint="eastAsia"/>
          <w:color w:val="000000"/>
          <w:sz w:val="32"/>
          <w:szCs w:val="32"/>
        </w:rPr>
        <w:t>辆、</w:t>
      </w:r>
      <w:r w:rsidR="00773055">
        <w:rPr>
          <w:rFonts w:ascii="仿宋_GB2312" w:eastAsia="仿宋_GB2312" w:hint="eastAsia"/>
          <w:color w:val="000000"/>
          <w:sz w:val="32"/>
          <w:szCs w:val="32"/>
        </w:rPr>
        <w:t>执法执勤用车</w:t>
      </w:r>
      <w:r w:rsidR="00D65D47">
        <w:rPr>
          <w:rFonts w:ascii="仿宋_GB2312" w:eastAsia="仿宋_GB2312" w:hint="eastAsia"/>
          <w:color w:val="000000"/>
          <w:sz w:val="32"/>
          <w:szCs w:val="32"/>
        </w:rPr>
        <w:t>49</w:t>
      </w:r>
      <w:r w:rsidR="00773055">
        <w:rPr>
          <w:rFonts w:ascii="仿宋_GB2312" w:eastAsia="仿宋_GB2312" w:hint="eastAsia"/>
          <w:color w:val="000000"/>
          <w:sz w:val="32"/>
          <w:szCs w:val="32"/>
        </w:rPr>
        <w:t>辆，特种特种专业技术用车</w:t>
      </w:r>
      <w:r w:rsidR="009A61AF">
        <w:rPr>
          <w:rFonts w:ascii="仿宋_GB2312" w:eastAsia="仿宋_GB2312" w:hint="eastAsia"/>
          <w:color w:val="000000"/>
          <w:sz w:val="32"/>
          <w:szCs w:val="32"/>
        </w:rPr>
        <w:t>0</w:t>
      </w:r>
      <w:r w:rsidR="00773055">
        <w:rPr>
          <w:rFonts w:ascii="仿宋_GB2312" w:eastAsia="仿宋_GB2312" w:hint="eastAsia"/>
          <w:color w:val="000000"/>
          <w:sz w:val="32"/>
          <w:szCs w:val="32"/>
        </w:rPr>
        <w:t>辆，</w:t>
      </w:r>
      <w:r>
        <w:rPr>
          <w:rFonts w:ascii="仿宋_GB2312" w:eastAsia="仿宋_GB2312" w:hint="eastAsia"/>
          <w:color w:val="000000"/>
          <w:sz w:val="32"/>
          <w:szCs w:val="32"/>
        </w:rPr>
        <w:t>其他用车</w:t>
      </w:r>
      <w:r w:rsidR="009A61AF">
        <w:rPr>
          <w:rFonts w:ascii="仿宋_GB2312" w:eastAsia="仿宋_GB2312" w:hint="eastAsia"/>
          <w:color w:val="000000"/>
          <w:sz w:val="32"/>
          <w:szCs w:val="32"/>
        </w:rPr>
        <w:t>0</w:t>
      </w:r>
      <w:r>
        <w:rPr>
          <w:rFonts w:ascii="仿宋_GB2312" w:eastAsia="仿宋_GB2312" w:hint="eastAsia"/>
          <w:color w:val="000000"/>
          <w:sz w:val="32"/>
          <w:szCs w:val="32"/>
        </w:rPr>
        <w:t>辆</w:t>
      </w:r>
      <w:r w:rsidR="00773055">
        <w:rPr>
          <w:rFonts w:ascii="仿宋_GB2312" w:eastAsia="仿宋_GB2312" w:hint="eastAsia"/>
          <w:color w:val="000000"/>
          <w:sz w:val="32"/>
          <w:szCs w:val="32"/>
        </w:rPr>
        <w:t>，</w:t>
      </w:r>
      <w:r w:rsidRPr="005D3F96">
        <w:rPr>
          <w:rFonts w:ascii="仿宋_GB2312" w:eastAsia="仿宋_GB2312" w:hint="eastAsia"/>
          <w:color w:val="000000" w:themeColor="text1"/>
          <w:sz w:val="32"/>
          <w:szCs w:val="32"/>
        </w:rPr>
        <w:t>其他用车主要是用于</w:t>
      </w:r>
      <w:r w:rsidR="005D3F96" w:rsidRPr="005D3F96">
        <w:rPr>
          <w:rFonts w:ascii="仿宋_GB2312" w:eastAsia="仿宋_GB2312" w:hint="eastAsia"/>
          <w:color w:val="000000" w:themeColor="text1"/>
          <w:sz w:val="32"/>
          <w:szCs w:val="32"/>
        </w:rPr>
        <w:t>城市管护</w:t>
      </w:r>
      <w:r w:rsidR="005D3F96">
        <w:rPr>
          <w:rFonts w:ascii="仿宋_GB2312" w:eastAsia="仿宋_GB2312" w:hint="eastAsia"/>
          <w:color w:val="000000" w:themeColor="text1"/>
          <w:sz w:val="32"/>
          <w:szCs w:val="32"/>
        </w:rPr>
        <w:t>，</w:t>
      </w:r>
      <w:r w:rsidRPr="005D3F96">
        <w:rPr>
          <w:rFonts w:ascii="仿宋_GB2312" w:eastAsia="仿宋_GB2312" w:hint="eastAsia"/>
          <w:color w:val="000000" w:themeColor="text1"/>
          <w:sz w:val="32"/>
          <w:szCs w:val="32"/>
        </w:rPr>
        <w:t>单价</w:t>
      </w:r>
      <w:r w:rsidRPr="005D3F96">
        <w:rPr>
          <w:rFonts w:ascii="仿宋_GB2312" w:eastAsia="仿宋_GB2312"/>
          <w:color w:val="000000" w:themeColor="text1"/>
          <w:sz w:val="32"/>
          <w:szCs w:val="32"/>
        </w:rPr>
        <w:t>50</w:t>
      </w:r>
      <w:r w:rsidRPr="005D3F96">
        <w:rPr>
          <w:rFonts w:ascii="仿宋_GB2312" w:eastAsia="仿宋_GB2312" w:hint="eastAsia"/>
          <w:color w:val="000000" w:themeColor="text1"/>
          <w:sz w:val="32"/>
          <w:szCs w:val="32"/>
        </w:rPr>
        <w:t>万元以上通用设备</w:t>
      </w:r>
      <w:r w:rsidR="009A61AF">
        <w:rPr>
          <w:rFonts w:ascii="仿宋_GB2312" w:eastAsia="仿宋_GB2312" w:hint="eastAsia"/>
          <w:color w:val="000000" w:themeColor="text1"/>
          <w:sz w:val="32"/>
          <w:szCs w:val="32"/>
        </w:rPr>
        <w:t>0</w:t>
      </w:r>
      <w:r w:rsidRPr="005D3F96">
        <w:rPr>
          <w:rFonts w:ascii="仿宋_GB2312" w:eastAsia="仿宋_GB2312" w:hint="eastAsia"/>
          <w:color w:val="000000" w:themeColor="text1"/>
          <w:sz w:val="32"/>
          <w:szCs w:val="32"/>
        </w:rPr>
        <w:t>台（套），单价</w:t>
      </w:r>
      <w:r w:rsidRPr="005D3F96">
        <w:rPr>
          <w:rFonts w:ascii="仿宋_GB2312" w:eastAsia="仿宋_GB2312"/>
          <w:color w:val="000000" w:themeColor="text1"/>
          <w:sz w:val="32"/>
          <w:szCs w:val="32"/>
        </w:rPr>
        <w:t>100</w:t>
      </w:r>
      <w:r w:rsidRPr="005D3F96">
        <w:rPr>
          <w:rFonts w:ascii="仿宋_GB2312" w:eastAsia="仿宋_GB2312" w:hint="eastAsia"/>
          <w:color w:val="000000" w:themeColor="text1"/>
          <w:sz w:val="32"/>
          <w:szCs w:val="32"/>
        </w:rPr>
        <w:t>万元以上</w:t>
      </w:r>
      <w:r>
        <w:rPr>
          <w:rFonts w:ascii="仿宋_GB2312" w:eastAsia="仿宋_GB2312" w:hint="eastAsia"/>
          <w:color w:val="000000"/>
          <w:sz w:val="32"/>
          <w:szCs w:val="32"/>
        </w:rPr>
        <w:t>专用设备</w:t>
      </w:r>
      <w:r w:rsidR="00773055">
        <w:rPr>
          <w:rFonts w:ascii="仿宋_GB2312" w:eastAsia="仿宋_GB2312" w:hint="eastAsia"/>
          <w:color w:val="000000"/>
          <w:sz w:val="32"/>
          <w:szCs w:val="32"/>
        </w:rPr>
        <w:t>0</w:t>
      </w:r>
      <w:r>
        <w:rPr>
          <w:rFonts w:ascii="仿宋_GB2312" w:eastAsia="仿宋_GB2312" w:hint="eastAsia"/>
          <w:color w:val="000000"/>
          <w:sz w:val="32"/>
          <w:szCs w:val="32"/>
        </w:rPr>
        <w:t>台（套）。</w:t>
      </w:r>
    </w:p>
    <w:p w:rsidR="007756AF" w:rsidRDefault="008C0886" w:rsidP="007756AF">
      <w:pPr>
        <w:autoSpaceDE w:val="0"/>
        <w:autoSpaceDN w:val="0"/>
        <w:adjustRightInd w:val="0"/>
        <w:spacing w:line="600" w:lineRule="exact"/>
        <w:ind w:firstLineChars="200" w:firstLine="643"/>
        <w:jc w:val="left"/>
        <w:outlineLvl w:val="2"/>
        <w:rPr>
          <w:rFonts w:ascii="仿宋" w:eastAsia="仿宋" w:hAnsi="仿宋"/>
          <w:b/>
          <w:color w:val="000000"/>
          <w:sz w:val="32"/>
          <w:szCs w:val="32"/>
        </w:rPr>
      </w:pPr>
      <w:r>
        <w:rPr>
          <w:rFonts w:ascii="仿宋" w:eastAsia="仿宋" w:hAnsi="仿宋" w:hint="eastAsia"/>
          <w:b/>
          <w:color w:val="000000"/>
          <w:sz w:val="32"/>
          <w:szCs w:val="32"/>
        </w:rPr>
        <w:t>（四）预算绩效管理情况</w:t>
      </w:r>
    </w:p>
    <w:p w:rsidR="00964D02" w:rsidRPr="00964D02" w:rsidRDefault="00323FB5" w:rsidP="00964D02">
      <w:pPr>
        <w:numPr>
          <w:ilvl w:val="0"/>
          <w:numId w:val="8"/>
        </w:numPr>
        <w:spacing w:line="600" w:lineRule="exact"/>
        <w:ind w:firstLineChars="180" w:firstLine="576"/>
        <w:rPr>
          <w:rFonts w:ascii="仿宋_GB2312" w:eastAsia="仿宋_GB2312" w:hAnsi="仿宋_GB2312" w:cs="仿宋_GB2312"/>
          <w:sz w:val="32"/>
          <w:szCs w:val="32"/>
        </w:rPr>
      </w:pPr>
      <w:r>
        <w:rPr>
          <w:rFonts w:ascii="仿宋_GB2312" w:eastAsia="仿宋_GB2312" w:hAnsi="仿宋_GB2312" w:cs="仿宋_GB2312" w:hint="eastAsia"/>
          <w:sz w:val="32"/>
          <w:szCs w:val="32"/>
        </w:rPr>
        <w:t>根据预算绩效管理要求，本单位在</w:t>
      </w:r>
      <w:r>
        <w:rPr>
          <w:rFonts w:ascii="Times New Roman" w:eastAsia="仿宋_GB2312" w:hAnsi="Times New Roman" w:hint="eastAsia"/>
          <w:sz w:val="32"/>
          <w:szCs w:val="32"/>
        </w:rPr>
        <w:t>2021</w:t>
      </w:r>
      <w:r>
        <w:rPr>
          <w:rFonts w:ascii="仿宋_GB2312" w:eastAsia="仿宋_GB2312" w:hAnsi="仿宋_GB2312" w:cs="仿宋_GB2312" w:hint="eastAsia"/>
          <w:sz w:val="32"/>
          <w:szCs w:val="32"/>
        </w:rPr>
        <w:t>年度预算编制阶段，组织对</w:t>
      </w:r>
      <w:r w:rsidR="00ED46A1">
        <w:rPr>
          <w:rFonts w:ascii="Times New Roman" w:eastAsia="仿宋_GB2312" w:hAnsi="Times New Roman" w:hint="eastAsia"/>
          <w:sz w:val="32"/>
          <w:szCs w:val="32"/>
        </w:rPr>
        <w:t>20</w:t>
      </w:r>
      <w:r>
        <w:rPr>
          <w:rFonts w:ascii="仿宋_GB2312" w:eastAsia="仿宋_GB2312" w:hAnsi="仿宋_GB2312" w:cs="仿宋_GB2312" w:hint="eastAsia"/>
          <w:sz w:val="32"/>
          <w:szCs w:val="32"/>
        </w:rPr>
        <w:t>个项目编制了绩效目标，预算执行过程中，选取</w:t>
      </w:r>
      <w:r w:rsidR="00ED46A1">
        <w:rPr>
          <w:rFonts w:ascii="Times New Roman" w:eastAsia="仿宋_GB2312" w:hAnsi="Times New Roman" w:hint="eastAsia"/>
          <w:sz w:val="32"/>
          <w:szCs w:val="32"/>
        </w:rPr>
        <w:t>20</w:t>
      </w:r>
      <w:r>
        <w:rPr>
          <w:rFonts w:ascii="仿宋_GB2312" w:eastAsia="仿宋_GB2312" w:hAnsi="仿宋_GB2312" w:cs="仿宋_GB2312" w:hint="eastAsia"/>
          <w:sz w:val="32"/>
          <w:szCs w:val="32"/>
        </w:rPr>
        <w:t>个项目开展绩效监控，年终执行完毕后，对</w:t>
      </w:r>
      <w:r w:rsidR="00ED46A1">
        <w:rPr>
          <w:rFonts w:ascii="Times New Roman" w:eastAsia="仿宋_GB2312" w:hAnsi="Times New Roman" w:hint="eastAsia"/>
          <w:sz w:val="32"/>
          <w:szCs w:val="32"/>
        </w:rPr>
        <w:lastRenderedPageBreak/>
        <w:t>16</w:t>
      </w:r>
      <w:r>
        <w:rPr>
          <w:rFonts w:ascii="仿宋_GB2312" w:eastAsia="仿宋_GB2312" w:hAnsi="仿宋_GB2312" w:cs="仿宋_GB2312" w:hint="eastAsia"/>
          <w:sz w:val="32"/>
          <w:szCs w:val="32"/>
        </w:rPr>
        <w:t>个项目开展了绩效自评，</w:t>
      </w:r>
      <w:r>
        <w:rPr>
          <w:rFonts w:ascii="Times New Roman" w:eastAsia="仿宋_GB2312" w:hAnsi="Times New Roman" w:hint="eastAsia"/>
          <w:sz w:val="32"/>
          <w:szCs w:val="32"/>
        </w:rPr>
        <w:t>2021</w:t>
      </w:r>
      <w:r>
        <w:rPr>
          <w:rFonts w:ascii="仿宋_GB2312" w:eastAsia="仿宋_GB2312" w:hAnsi="仿宋_GB2312" w:cs="仿宋_GB2312" w:hint="eastAsia"/>
          <w:sz w:val="32"/>
          <w:szCs w:val="32"/>
        </w:rPr>
        <w:t>年特定目标类部门预算项目绩效目标自评表见附件（第四部分）。</w:t>
      </w:r>
    </w:p>
    <w:tbl>
      <w:tblPr>
        <w:tblpPr w:leftFromText="180" w:rightFromText="180" w:vertAnchor="text" w:horzAnchor="page" w:tblpXSpec="center" w:tblpY="423"/>
        <w:tblOverlap w:val="never"/>
        <w:tblW w:w="6135" w:type="pct"/>
        <w:tblCellMar>
          <w:left w:w="0" w:type="dxa"/>
          <w:right w:w="0" w:type="dxa"/>
        </w:tblCellMar>
        <w:tblLook w:val="0000"/>
      </w:tblPr>
      <w:tblGrid>
        <w:gridCol w:w="9938"/>
        <w:gridCol w:w="290"/>
      </w:tblGrid>
      <w:tr w:rsidR="00964D02" w:rsidTr="00323FB5">
        <w:trPr>
          <w:gridAfter w:val="1"/>
          <w:wAfter w:w="142" w:type="pct"/>
          <w:trHeight w:val="1034"/>
        </w:trPr>
        <w:tc>
          <w:tcPr>
            <w:tcW w:w="4858" w:type="pct"/>
            <w:tcBorders>
              <w:top w:val="nil"/>
              <w:left w:val="nil"/>
              <w:bottom w:val="nil"/>
              <w:right w:val="nil"/>
            </w:tcBorders>
            <w:tcMar>
              <w:top w:w="15" w:type="dxa"/>
              <w:left w:w="15" w:type="dxa"/>
              <w:right w:w="15" w:type="dxa"/>
            </w:tcMar>
            <w:vAlign w:val="center"/>
          </w:tcPr>
          <w:tbl>
            <w:tblPr>
              <w:tblpPr w:leftFromText="180" w:rightFromText="180" w:vertAnchor="text" w:horzAnchor="page" w:tblpX="1281" w:tblpY="660"/>
              <w:tblOverlap w:val="never"/>
              <w:tblW w:w="9817" w:type="dxa"/>
              <w:tblLook w:val="04A0"/>
            </w:tblPr>
            <w:tblGrid>
              <w:gridCol w:w="1159"/>
              <w:gridCol w:w="1320"/>
              <w:gridCol w:w="1440"/>
              <w:gridCol w:w="1530"/>
              <w:gridCol w:w="1965"/>
              <w:gridCol w:w="2163"/>
              <w:gridCol w:w="240"/>
            </w:tblGrid>
            <w:tr w:rsidR="0050054D" w:rsidTr="0050054D">
              <w:trPr>
                <w:trHeight w:val="675"/>
              </w:trPr>
              <w:tc>
                <w:tcPr>
                  <w:tcW w:w="9577" w:type="dxa"/>
                  <w:gridSpan w:val="6"/>
                  <w:tcBorders>
                    <w:top w:val="nil"/>
                    <w:left w:val="nil"/>
                    <w:bottom w:val="nil"/>
                    <w:right w:val="nil"/>
                  </w:tcBorders>
                  <w:shd w:val="clear" w:color="auto" w:fill="auto"/>
                  <w:vAlign w:val="center"/>
                </w:tcPr>
                <w:p w:rsidR="0050054D" w:rsidRDefault="0050054D" w:rsidP="0050054D">
                  <w:pPr>
                    <w:widowControl/>
                    <w:jc w:val="center"/>
                    <w:textAlignment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2021年100万元以上（含）特定目标类部门预算项目绩效目标自评</w:t>
                  </w:r>
                </w:p>
                <w:p w:rsidR="0050054D" w:rsidRDefault="0050054D" w:rsidP="0050054D">
                  <w:pPr>
                    <w:pStyle w:val="a3"/>
                    <w:spacing w:before="72"/>
                    <w:jc w:val="center"/>
                    <w:rPr>
                      <w:rFonts w:eastAsiaTheme="minorEastAsia"/>
                    </w:rPr>
                  </w:pPr>
                  <w:r w:rsidRPr="0050054D">
                    <w:rPr>
                      <w:rFonts w:asciiTheme="minorEastAsia" w:eastAsiaTheme="minorEastAsia" w:hAnsiTheme="minorEastAsia" w:cstheme="minorEastAsia" w:hint="eastAsia"/>
                      <w:b/>
                      <w:bCs/>
                      <w:sz w:val="28"/>
                      <w:szCs w:val="28"/>
                    </w:rPr>
                    <w:t>数字城管升级智慧城管项目</w:t>
                  </w:r>
                </w:p>
              </w:tc>
              <w:tc>
                <w:tcPr>
                  <w:tcW w:w="240" w:type="dxa"/>
                  <w:tcBorders>
                    <w:top w:val="nil"/>
                    <w:left w:val="nil"/>
                    <w:bottom w:val="nil"/>
                    <w:right w:val="nil"/>
                  </w:tcBorders>
                  <w:shd w:val="clear" w:color="auto" w:fill="auto"/>
                  <w:vAlign w:val="center"/>
                </w:tcPr>
                <w:p w:rsidR="0050054D" w:rsidRDefault="0050054D" w:rsidP="0050054D">
                  <w:pPr>
                    <w:widowControl/>
                    <w:jc w:val="center"/>
                    <w:textAlignment w:val="center"/>
                    <w:rPr>
                      <w:rFonts w:ascii="宋体" w:hAnsi="宋体" w:cs="宋体"/>
                      <w:b/>
                      <w:kern w:val="0"/>
                      <w:sz w:val="32"/>
                      <w:szCs w:val="32"/>
                    </w:rPr>
                  </w:pPr>
                </w:p>
              </w:tc>
            </w:tr>
            <w:tr w:rsidR="0050054D" w:rsidTr="0050054D">
              <w:trPr>
                <w:gridAfter w:val="1"/>
                <w:wAfter w:w="240" w:type="dxa"/>
                <w:trHeight w:val="254"/>
              </w:trPr>
              <w:tc>
                <w:tcPr>
                  <w:tcW w:w="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主管部门及代码</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textAlignment w:val="center"/>
                    <w:rPr>
                      <w:rFonts w:ascii="宋体" w:hAnsi="宋体" w:cs="宋体"/>
                      <w:sz w:val="24"/>
                    </w:rPr>
                  </w:pPr>
                  <w:r>
                    <w:rPr>
                      <w:rFonts w:ascii="宋体" w:hAnsi="宋体" w:cs="宋体" w:hint="eastAsia"/>
                      <w:sz w:val="24"/>
                    </w:rPr>
                    <w:t>德阳市城市管理行政执法局（314）</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实施单位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sidRPr="0050054D">
                    <w:rPr>
                      <w:rFonts w:ascii="宋体" w:hAnsi="宋体" w:cs="宋体" w:hint="eastAsia"/>
                      <w:sz w:val="24"/>
                    </w:rPr>
                    <w:t>德阳市城市综合管理指挥中心</w:t>
                  </w:r>
                </w:p>
              </w:tc>
            </w:tr>
            <w:tr w:rsidR="0050054D" w:rsidTr="0050054D">
              <w:trPr>
                <w:gridAfter w:val="1"/>
                <w:wAfter w:w="240" w:type="dxa"/>
                <w:trHeight w:val="341"/>
              </w:trPr>
              <w:tc>
                <w:tcPr>
                  <w:tcW w:w="24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项目预算</w:t>
                  </w:r>
                  <w:r>
                    <w:rPr>
                      <w:rFonts w:ascii="宋体" w:hAnsi="宋体" w:cs="宋体" w:hint="eastAsia"/>
                      <w:kern w:val="0"/>
                      <w:sz w:val="24"/>
                    </w:rPr>
                    <w:br/>
                    <w:t>执行情况</w:t>
                  </w:r>
                  <w:r>
                    <w:rPr>
                      <w:rFonts w:ascii="宋体" w:hAnsi="宋体" w:cs="宋体" w:hint="eastAsia"/>
                      <w:kern w:val="0"/>
                      <w:sz w:val="24"/>
                    </w:rPr>
                    <w:br/>
                    <w:t>（万元）</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 xml:space="preserve"> 预算数：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right"/>
                    <w:textAlignment w:val="center"/>
                    <w:rPr>
                      <w:rFonts w:ascii="宋体" w:hAnsi="宋体" w:cs="宋体"/>
                      <w:sz w:val="24"/>
                    </w:rPr>
                  </w:pPr>
                  <w:r w:rsidRPr="0050054D">
                    <w:rPr>
                      <w:rFonts w:ascii="宋体" w:hAnsi="宋体" w:cs="宋体" w:hint="eastAsia"/>
                      <w:sz w:val="24"/>
                    </w:rPr>
                    <w:t>1,065.25</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 xml:space="preserve"> 执行数：</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right"/>
                    <w:textAlignment w:val="center"/>
                    <w:rPr>
                      <w:rFonts w:ascii="宋体" w:hAnsi="宋体" w:cs="宋体"/>
                      <w:sz w:val="24"/>
                    </w:rPr>
                  </w:pPr>
                  <w:r w:rsidRPr="0050054D">
                    <w:rPr>
                      <w:rFonts w:ascii="宋体" w:hAnsi="宋体" w:cs="宋体" w:hint="eastAsia"/>
                      <w:sz w:val="24"/>
                    </w:rPr>
                    <w:t>1062.2</w:t>
                  </w:r>
                </w:p>
              </w:tc>
            </w:tr>
            <w:tr w:rsidR="0050054D" w:rsidTr="0050054D">
              <w:trPr>
                <w:gridAfter w:val="1"/>
                <w:wAfter w:w="240" w:type="dxa"/>
                <w:trHeight w:val="555"/>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right"/>
                    <w:textAlignment w:val="center"/>
                    <w:rPr>
                      <w:rFonts w:ascii="宋体" w:hAnsi="宋体" w:cs="宋体"/>
                      <w:sz w:val="24"/>
                    </w:rPr>
                  </w:pPr>
                  <w:r w:rsidRPr="0050054D">
                    <w:rPr>
                      <w:rFonts w:ascii="宋体" w:hAnsi="宋体" w:cs="宋体" w:hint="eastAsia"/>
                      <w:sz w:val="24"/>
                    </w:rPr>
                    <w:t>1,065.25</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right"/>
                    <w:textAlignment w:val="center"/>
                    <w:rPr>
                      <w:rFonts w:ascii="宋体" w:hAnsi="宋体" w:cs="宋体"/>
                      <w:sz w:val="24"/>
                    </w:rPr>
                  </w:pPr>
                  <w:r w:rsidRPr="0050054D">
                    <w:rPr>
                      <w:rFonts w:ascii="宋体" w:hAnsi="宋体" w:cs="宋体" w:hint="eastAsia"/>
                      <w:sz w:val="24"/>
                    </w:rPr>
                    <w:t>1062.2</w:t>
                  </w:r>
                </w:p>
              </w:tc>
            </w:tr>
            <w:tr w:rsidR="0050054D" w:rsidTr="0050054D">
              <w:trPr>
                <w:gridAfter w:val="1"/>
                <w:wAfter w:w="240" w:type="dxa"/>
                <w:trHeight w:val="341"/>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p>
              </w:tc>
            </w:tr>
            <w:tr w:rsidR="0050054D" w:rsidTr="0050054D">
              <w:trPr>
                <w:gridAfter w:val="1"/>
                <w:wAfter w:w="240" w:type="dxa"/>
                <w:trHeight w:val="217"/>
              </w:trPr>
              <w:tc>
                <w:tcPr>
                  <w:tcW w:w="11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kern w:val="0"/>
                      <w:sz w:val="24"/>
                    </w:rPr>
                  </w:pPr>
                  <w:r>
                    <w:rPr>
                      <w:rFonts w:ascii="宋体" w:hAnsi="宋体" w:cs="宋体" w:hint="eastAsia"/>
                      <w:kern w:val="0"/>
                      <w:sz w:val="24"/>
                    </w:rPr>
                    <w:t>年度总体目标</w:t>
                  </w:r>
                </w:p>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完成情况</w:t>
                  </w: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预期目标</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宋体" w:hAnsi="宋体" w:cs="宋体"/>
                      <w:sz w:val="24"/>
                    </w:rPr>
                  </w:pPr>
                  <w:r>
                    <w:rPr>
                      <w:rFonts w:ascii="宋体" w:hAnsi="宋体" w:cs="宋体" w:hint="eastAsia"/>
                      <w:kern w:val="0"/>
                      <w:sz w:val="24"/>
                    </w:rPr>
                    <w:t>目标实际完成情况</w:t>
                  </w:r>
                </w:p>
              </w:tc>
            </w:tr>
            <w:tr w:rsidR="0050054D" w:rsidTr="0050054D">
              <w:trPr>
                <w:gridAfter w:val="1"/>
                <w:wAfter w:w="240" w:type="dxa"/>
                <w:trHeight w:val="797"/>
              </w:trPr>
              <w:tc>
                <w:tcPr>
                  <w:tcW w:w="11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宋体" w:hAnsi="宋体" w:cs="宋体"/>
                      <w:sz w:val="24"/>
                    </w:rPr>
                  </w:pP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tcPr>
                <w:p w:rsidR="0050054D" w:rsidRDefault="0050054D" w:rsidP="0050054D">
                  <w:pPr>
                    <w:widowControl/>
                    <w:spacing w:line="320" w:lineRule="exact"/>
                    <w:jc w:val="left"/>
                    <w:textAlignment w:val="top"/>
                    <w:rPr>
                      <w:rFonts w:ascii="宋体" w:hAnsi="宋体" w:cs="宋体"/>
                      <w:sz w:val="24"/>
                    </w:rPr>
                  </w:pPr>
                  <w:r w:rsidRPr="0050054D">
                    <w:rPr>
                      <w:rFonts w:ascii="宋体" w:hAnsi="宋体" w:cs="宋体" w:hint="eastAsia"/>
                      <w:sz w:val="24"/>
                    </w:rPr>
                    <w:t>智慧城管系统建设将围绕“服务+管理”的理念，在执法、环卫、照明、桥梁监测、视频监控、广告管理等领域，积极开展相关智慧城管子系统建设和现有数字城管系统升级改造。</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54D" w:rsidRDefault="00323FB5" w:rsidP="0050054D">
                  <w:pPr>
                    <w:widowControl/>
                    <w:spacing w:line="320" w:lineRule="exact"/>
                    <w:jc w:val="left"/>
                    <w:textAlignment w:val="top"/>
                    <w:rPr>
                      <w:rFonts w:ascii="宋体" w:hAnsi="宋体" w:cs="宋体"/>
                      <w:sz w:val="24"/>
                    </w:rPr>
                  </w:pPr>
                  <w:r w:rsidRPr="00831FE6">
                    <w:rPr>
                      <w:rFonts w:ascii="宋体" w:cs="宋体" w:hint="eastAsia"/>
                      <w:color w:val="000000"/>
                      <w:sz w:val="18"/>
                      <w:szCs w:val="18"/>
                    </w:rPr>
                    <w:t>截至2021年12月底，已完成该项目2021年所有费用支付1062.204445（包括项目第二年项目回购服务费679.57359万元、项目2020年至2021年建设租赁〈含资金利息〉140.287835万元、第二年网络服务费152.9484万元、项目2021年运行维护费92.43661万元,其中有3.04199万元是2021年对项目承建方中国广电四川网络股份有限公司德阳市分公司项目维护工作延误的处罚金额。</w:t>
                  </w:r>
                </w:p>
              </w:tc>
            </w:tr>
            <w:tr w:rsidR="0050054D" w:rsidTr="0050054D">
              <w:trPr>
                <w:gridAfter w:val="1"/>
                <w:wAfter w:w="240" w:type="dxa"/>
                <w:trHeight w:val="693"/>
              </w:trPr>
              <w:tc>
                <w:tcPr>
                  <w:tcW w:w="1159" w:type="dxa"/>
                  <w:vMerge w:val="restart"/>
                  <w:tcBorders>
                    <w:top w:val="single" w:sz="4" w:space="0" w:color="000000"/>
                    <w:left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年度绩效指标完成情况</w:t>
                  </w:r>
                </w:p>
              </w:tc>
              <w:tc>
                <w:tcPr>
                  <w:tcW w:w="1320" w:type="dxa"/>
                  <w:tcBorders>
                    <w:top w:val="single" w:sz="4" w:space="0" w:color="000000"/>
                    <w:left w:val="nil"/>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一级</w:t>
                  </w:r>
                </w:p>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二级</w:t>
                  </w:r>
                </w:p>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三级</w:t>
                  </w:r>
                </w:p>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预期指标值</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实际完成指标值</w:t>
                  </w:r>
                </w:p>
              </w:tc>
            </w:tr>
            <w:tr w:rsidR="0050054D" w:rsidTr="0050054D">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完成</w:t>
                  </w:r>
                </w:p>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数量指标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数字城管升级智慧城管项目第二年服务费</w:t>
                  </w:r>
                  <w:r>
                    <w:rPr>
                      <w:rFonts w:ascii="宋体" w:cs="宋体" w:hint="eastAsia"/>
                      <w:color w:val="000000"/>
                      <w:sz w:val="24"/>
                    </w:rPr>
                    <w:t>、租赁费、维护费</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项目终验合格后的第三年的第一个月内支付第二年项目服务费</w:t>
                  </w:r>
                  <w:r>
                    <w:rPr>
                      <w:rFonts w:ascii="宋体" w:cs="宋体" w:hint="eastAsia"/>
                      <w:color w:val="000000"/>
                      <w:sz w:val="24"/>
                    </w:rPr>
                    <w:t>、</w:t>
                  </w:r>
                  <w:r w:rsidRPr="00323FB5">
                    <w:rPr>
                      <w:rFonts w:ascii="宋体" w:cs="宋体" w:hint="eastAsia"/>
                      <w:color w:val="000000"/>
                      <w:sz w:val="24"/>
                    </w:rPr>
                    <w:t>网络服务费</w:t>
                  </w:r>
                  <w:r>
                    <w:rPr>
                      <w:rFonts w:ascii="宋体" w:cs="宋体" w:hint="eastAsia"/>
                      <w:color w:val="000000"/>
                      <w:sz w:val="24"/>
                    </w:rPr>
                    <w:t>、</w:t>
                  </w:r>
                  <w:r w:rsidRPr="00323FB5">
                    <w:rPr>
                      <w:rFonts w:ascii="宋体" w:cs="宋体" w:hint="eastAsia"/>
                      <w:color w:val="000000"/>
                      <w:sz w:val="24"/>
                    </w:rPr>
                    <w:t>运行维护费</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项目终验合格后的第三年的第一个月内支付第二年项目服务费</w:t>
                  </w:r>
                  <w:r>
                    <w:rPr>
                      <w:rFonts w:ascii="宋体" w:cs="宋体" w:hint="eastAsia"/>
                      <w:color w:val="000000"/>
                      <w:sz w:val="24"/>
                    </w:rPr>
                    <w:t>、</w:t>
                  </w:r>
                  <w:r w:rsidRPr="00323FB5">
                    <w:rPr>
                      <w:rFonts w:ascii="宋体" w:cs="宋体" w:hint="eastAsia"/>
                      <w:color w:val="000000"/>
                      <w:sz w:val="24"/>
                    </w:rPr>
                    <w:t>网络服务费</w:t>
                  </w:r>
                  <w:r>
                    <w:rPr>
                      <w:rFonts w:ascii="宋体" w:cs="宋体" w:hint="eastAsia"/>
                      <w:color w:val="000000"/>
                      <w:sz w:val="24"/>
                    </w:rPr>
                    <w:t>、</w:t>
                  </w:r>
                  <w:r w:rsidRPr="00323FB5">
                    <w:rPr>
                      <w:rFonts w:ascii="宋体" w:cs="宋体" w:hint="eastAsia"/>
                      <w:color w:val="000000"/>
                      <w:sz w:val="24"/>
                    </w:rPr>
                    <w:t>运行维护费</w:t>
                  </w:r>
                </w:p>
              </w:tc>
            </w:tr>
            <w:tr w:rsidR="0050054D" w:rsidTr="0050054D">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50054D" w:rsidRDefault="0050054D" w:rsidP="0050054D">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质量指标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数字城管升级智慧城管项目建设标准</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≥95%</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≥95%</w:t>
                  </w:r>
                </w:p>
              </w:tc>
            </w:tr>
            <w:tr w:rsidR="0050054D" w:rsidTr="0050054D">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50054D" w:rsidRDefault="0050054D" w:rsidP="0050054D">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时效指标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完成时间</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r>
            <w:tr w:rsidR="0050054D" w:rsidTr="0050054D">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50054D" w:rsidRDefault="0050054D" w:rsidP="0050054D">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成本指标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数字城管升级智慧城管</w:t>
                  </w:r>
                  <w:r w:rsidRPr="00323FB5">
                    <w:rPr>
                      <w:rFonts w:ascii="宋体" w:cs="宋体" w:hint="eastAsia"/>
                      <w:color w:val="000000"/>
                      <w:sz w:val="24"/>
                    </w:rPr>
                    <w:lastRenderedPageBreak/>
                    <w:t>项目第二期服务费支付</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lastRenderedPageBreak/>
                    <w:t>预算控制内</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宋体" w:cs="宋体"/>
                      <w:color w:val="000000"/>
                      <w:sz w:val="24"/>
                    </w:rPr>
                  </w:pPr>
                  <w:r>
                    <w:rPr>
                      <w:rFonts w:ascii="宋体" w:cs="宋体" w:hint="eastAsia"/>
                      <w:color w:val="000000"/>
                      <w:sz w:val="24"/>
                    </w:rPr>
                    <w:t>预算控制内</w:t>
                  </w:r>
                </w:p>
              </w:tc>
            </w:tr>
            <w:tr w:rsidR="0050054D" w:rsidTr="0050054D">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效益</w:t>
                  </w:r>
                  <w:r>
                    <w:rPr>
                      <w:rFonts w:ascii="仿宋_GB2312" w:eastAsia="仿宋_GB2312" w:hAnsi="仿宋_GB2312" w:cs="仿宋_GB2312" w:hint="eastAsia"/>
                      <w:kern w:val="0"/>
                      <w:sz w:val="28"/>
                      <w:szCs w:val="28"/>
                    </w:rPr>
                    <w:b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社会效益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对城管监管工作的促进作用</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提高城市管理效能、提高城管服务水平、提高城管业务监管效率，提升管理标准。</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提高城市管理效能、提高城管服务水平、提高城管业务监管效率，提升管理标准。</w:t>
                  </w:r>
                </w:p>
              </w:tc>
            </w:tr>
            <w:tr w:rsidR="0050054D" w:rsidTr="0050054D">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50054D" w:rsidRDefault="0050054D" w:rsidP="0050054D">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可持续影响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数字城管升级智慧城管服务年限</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≥3年</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宋体" w:cs="宋体"/>
                      <w:color w:val="000000"/>
                      <w:sz w:val="24"/>
                    </w:rPr>
                  </w:pPr>
                  <w:r w:rsidRPr="00323FB5">
                    <w:rPr>
                      <w:rFonts w:ascii="宋体" w:cs="宋体" w:hint="eastAsia"/>
                      <w:color w:val="000000"/>
                      <w:sz w:val="24"/>
                    </w:rPr>
                    <w:t>≥3年</w:t>
                  </w:r>
                </w:p>
              </w:tc>
            </w:tr>
            <w:tr w:rsidR="0050054D" w:rsidTr="0050054D">
              <w:trPr>
                <w:gridAfter w:val="1"/>
                <w:wAfter w:w="240" w:type="dxa"/>
                <w:trHeight w:val="530"/>
              </w:trPr>
              <w:tc>
                <w:tcPr>
                  <w:tcW w:w="1159" w:type="dxa"/>
                  <w:vMerge/>
                  <w:tcBorders>
                    <w:left w:val="single" w:sz="4" w:space="0" w:color="000000"/>
                    <w:bottom w:val="single" w:sz="4" w:space="0" w:color="000000"/>
                    <w:right w:val="single" w:sz="4" w:space="0" w:color="000000"/>
                  </w:tcBorders>
                  <w:shd w:val="clear" w:color="auto" w:fill="auto"/>
                  <w:vAlign w:val="center"/>
                </w:tcPr>
                <w:p w:rsidR="0050054D" w:rsidRDefault="0050054D" w:rsidP="0050054D">
                  <w:pPr>
                    <w:spacing w:line="320" w:lineRule="exact"/>
                    <w:jc w:val="center"/>
                    <w:rPr>
                      <w:rFonts w:ascii="仿宋_GB2312" w:eastAsia="仿宋_GB2312" w:hAnsi="仿宋_GB2312" w:cs="仿宋_GB2312"/>
                      <w:sz w:val="28"/>
                      <w:szCs w:val="2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proofErr w:type="gramStart"/>
                  <w:r>
                    <w:rPr>
                      <w:rFonts w:ascii="仿宋_GB2312" w:eastAsia="仿宋_GB2312" w:hAnsi="仿宋_GB2312" w:cs="仿宋_GB2312" w:hint="eastAsia"/>
                      <w:kern w:val="0"/>
                      <w:sz w:val="28"/>
                      <w:szCs w:val="28"/>
                    </w:rPr>
                    <w:t>满意</w:t>
                  </w:r>
                  <w:proofErr w:type="gramEnd"/>
                  <w:r>
                    <w:rPr>
                      <w:rFonts w:ascii="仿宋_GB2312" w:eastAsia="仿宋_GB2312" w:hAnsi="仿宋_GB2312" w:cs="仿宋_GB2312" w:hint="eastAsia"/>
                      <w:kern w:val="0"/>
                      <w:sz w:val="28"/>
                      <w:szCs w:val="28"/>
                    </w:rPr>
                    <w:br/>
                    <w:t>度指标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满意度</w:t>
                  </w:r>
                </w:p>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323FB5" w:rsidP="0050054D">
                  <w:pPr>
                    <w:widowControl/>
                    <w:spacing w:line="320" w:lineRule="exact"/>
                    <w:jc w:val="center"/>
                    <w:textAlignment w:val="bottom"/>
                    <w:rPr>
                      <w:rFonts w:ascii="仿宋_GB2312" w:eastAsia="仿宋_GB2312" w:hAnsi="仿宋_GB2312" w:cs="仿宋_GB2312"/>
                      <w:sz w:val="28"/>
                      <w:szCs w:val="28"/>
                    </w:rPr>
                  </w:pPr>
                  <w:r w:rsidRPr="00323FB5">
                    <w:rPr>
                      <w:rFonts w:ascii="宋体" w:cs="宋体" w:hint="eastAsia"/>
                      <w:color w:val="000000"/>
                      <w:sz w:val="24"/>
                    </w:rPr>
                    <w:t>城管职能部门满意度</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宋体" w:cs="宋体" w:hint="eastAsia"/>
                      <w:color w:val="000000"/>
                      <w:sz w:val="24"/>
                    </w:rPr>
                    <w:t>较满意</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54D" w:rsidRDefault="0050054D" w:rsidP="0050054D">
                  <w:pPr>
                    <w:widowControl/>
                    <w:spacing w:line="320" w:lineRule="exact"/>
                    <w:jc w:val="center"/>
                    <w:textAlignment w:val="bottom"/>
                    <w:rPr>
                      <w:rFonts w:ascii="仿宋_GB2312" w:eastAsia="仿宋_GB2312" w:hAnsi="仿宋_GB2312" w:cs="仿宋_GB2312"/>
                      <w:sz w:val="28"/>
                      <w:szCs w:val="28"/>
                    </w:rPr>
                  </w:pPr>
                  <w:r>
                    <w:rPr>
                      <w:rFonts w:ascii="宋体" w:cs="宋体" w:hint="eastAsia"/>
                      <w:color w:val="000000"/>
                      <w:sz w:val="24"/>
                    </w:rPr>
                    <w:t>较满意</w:t>
                  </w:r>
                </w:p>
              </w:tc>
            </w:tr>
          </w:tbl>
          <w:p w:rsidR="00964D02" w:rsidRDefault="00964D02" w:rsidP="00831FE6">
            <w:pPr>
              <w:widowControl/>
              <w:spacing w:line="600" w:lineRule="exact"/>
              <w:jc w:val="center"/>
              <w:textAlignment w:val="center"/>
              <w:rPr>
                <w:rFonts w:ascii="宋体" w:cs="宋体"/>
                <w:color w:val="000000"/>
                <w:sz w:val="36"/>
                <w:szCs w:val="36"/>
              </w:rPr>
            </w:pPr>
          </w:p>
        </w:tc>
      </w:tr>
      <w:tr w:rsidR="00681C25" w:rsidTr="00323FB5">
        <w:tblPrEx>
          <w:jc w:val="center"/>
        </w:tblPrEx>
        <w:trPr>
          <w:trHeight w:val="1034"/>
          <w:jc w:val="center"/>
        </w:trPr>
        <w:tc>
          <w:tcPr>
            <w:tcW w:w="5000" w:type="pct"/>
            <w:gridSpan w:val="2"/>
            <w:tcBorders>
              <w:top w:val="nil"/>
              <w:left w:val="nil"/>
              <w:bottom w:val="nil"/>
              <w:right w:val="nil"/>
            </w:tcBorders>
            <w:tcMar>
              <w:top w:w="15" w:type="dxa"/>
              <w:left w:w="15" w:type="dxa"/>
              <w:right w:w="15" w:type="dxa"/>
            </w:tcMar>
            <w:vAlign w:val="center"/>
          </w:tcPr>
          <w:tbl>
            <w:tblPr>
              <w:tblpPr w:leftFromText="180" w:rightFromText="180" w:vertAnchor="text" w:horzAnchor="page" w:tblpX="1281" w:tblpY="660"/>
              <w:tblOverlap w:val="never"/>
              <w:tblW w:w="9817" w:type="dxa"/>
              <w:tblLook w:val="04A0"/>
            </w:tblPr>
            <w:tblGrid>
              <w:gridCol w:w="1159"/>
              <w:gridCol w:w="1320"/>
              <w:gridCol w:w="1440"/>
              <w:gridCol w:w="1530"/>
              <w:gridCol w:w="1965"/>
              <w:gridCol w:w="2163"/>
              <w:gridCol w:w="240"/>
            </w:tblGrid>
            <w:tr w:rsidR="00323FB5" w:rsidTr="00C94182">
              <w:trPr>
                <w:trHeight w:val="675"/>
              </w:trPr>
              <w:tc>
                <w:tcPr>
                  <w:tcW w:w="9577" w:type="dxa"/>
                  <w:gridSpan w:val="6"/>
                  <w:tcBorders>
                    <w:top w:val="nil"/>
                    <w:left w:val="nil"/>
                    <w:bottom w:val="nil"/>
                    <w:right w:val="nil"/>
                  </w:tcBorders>
                  <w:shd w:val="clear" w:color="auto" w:fill="auto"/>
                  <w:vAlign w:val="center"/>
                </w:tcPr>
                <w:p w:rsidR="00323FB5" w:rsidRDefault="00323FB5" w:rsidP="00323FB5">
                  <w:pPr>
                    <w:widowControl/>
                    <w:jc w:val="center"/>
                    <w:textAlignment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lastRenderedPageBreak/>
                    <w:t>2021年100万元以上（含）特定目标类部门预算项目绩效目标自评</w:t>
                  </w:r>
                </w:p>
                <w:p w:rsidR="00323FB5" w:rsidRDefault="00323FB5" w:rsidP="00323FB5">
                  <w:pPr>
                    <w:pStyle w:val="a3"/>
                    <w:spacing w:before="72"/>
                    <w:jc w:val="center"/>
                    <w:rPr>
                      <w:rFonts w:eastAsiaTheme="minorEastAsia"/>
                    </w:rPr>
                  </w:pPr>
                  <w:r w:rsidRPr="00323FB5">
                    <w:rPr>
                      <w:rFonts w:asciiTheme="minorEastAsia" w:eastAsiaTheme="minorEastAsia" w:hAnsiTheme="minorEastAsia" w:cstheme="minorEastAsia" w:hint="eastAsia"/>
                      <w:b/>
                      <w:bCs/>
                      <w:sz w:val="28"/>
                      <w:szCs w:val="28"/>
                    </w:rPr>
                    <w:t>聘用人员经费</w:t>
                  </w:r>
                  <w:r w:rsidRPr="0050054D">
                    <w:rPr>
                      <w:rFonts w:asciiTheme="minorEastAsia" w:eastAsiaTheme="minorEastAsia" w:hAnsiTheme="minorEastAsia" w:cstheme="minorEastAsia" w:hint="eastAsia"/>
                      <w:b/>
                      <w:bCs/>
                      <w:sz w:val="28"/>
                      <w:szCs w:val="28"/>
                    </w:rPr>
                    <w:t>项目</w:t>
                  </w:r>
                </w:p>
              </w:tc>
              <w:tc>
                <w:tcPr>
                  <w:tcW w:w="240" w:type="dxa"/>
                  <w:tcBorders>
                    <w:top w:val="nil"/>
                    <w:left w:val="nil"/>
                    <w:bottom w:val="nil"/>
                    <w:right w:val="nil"/>
                  </w:tcBorders>
                  <w:shd w:val="clear" w:color="auto" w:fill="auto"/>
                  <w:vAlign w:val="center"/>
                </w:tcPr>
                <w:p w:rsidR="00323FB5" w:rsidRDefault="00323FB5" w:rsidP="00323FB5">
                  <w:pPr>
                    <w:widowControl/>
                    <w:jc w:val="center"/>
                    <w:textAlignment w:val="center"/>
                    <w:rPr>
                      <w:rFonts w:ascii="宋体" w:hAnsi="宋体" w:cs="宋体"/>
                      <w:b/>
                      <w:kern w:val="0"/>
                      <w:sz w:val="32"/>
                      <w:szCs w:val="32"/>
                    </w:rPr>
                  </w:pPr>
                </w:p>
              </w:tc>
            </w:tr>
            <w:tr w:rsidR="00323FB5" w:rsidTr="00C94182">
              <w:trPr>
                <w:gridAfter w:val="1"/>
                <w:wAfter w:w="240" w:type="dxa"/>
                <w:trHeight w:val="254"/>
              </w:trPr>
              <w:tc>
                <w:tcPr>
                  <w:tcW w:w="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主管部门及代码</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textAlignment w:val="center"/>
                    <w:rPr>
                      <w:rFonts w:ascii="宋体" w:hAnsi="宋体" w:cs="宋体"/>
                      <w:sz w:val="24"/>
                    </w:rPr>
                  </w:pPr>
                  <w:r>
                    <w:rPr>
                      <w:rFonts w:ascii="宋体" w:hAnsi="宋体" w:cs="宋体" w:hint="eastAsia"/>
                      <w:sz w:val="24"/>
                    </w:rPr>
                    <w:t>德阳市城市管理行政执法局（314）</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实施单位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sidRPr="00323FB5">
                    <w:rPr>
                      <w:rFonts w:ascii="宋体" w:hAnsi="宋体" w:cs="宋体" w:hint="eastAsia"/>
                      <w:sz w:val="24"/>
                    </w:rPr>
                    <w:t>德阳市城市管理行政执法支队</w:t>
                  </w:r>
                </w:p>
              </w:tc>
            </w:tr>
            <w:tr w:rsidR="00323FB5" w:rsidTr="00C94182">
              <w:trPr>
                <w:gridAfter w:val="1"/>
                <w:wAfter w:w="240" w:type="dxa"/>
                <w:trHeight w:val="341"/>
              </w:trPr>
              <w:tc>
                <w:tcPr>
                  <w:tcW w:w="24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项目预算</w:t>
                  </w:r>
                  <w:r>
                    <w:rPr>
                      <w:rFonts w:ascii="宋体" w:hAnsi="宋体" w:cs="宋体" w:hint="eastAsia"/>
                      <w:kern w:val="0"/>
                      <w:sz w:val="24"/>
                    </w:rPr>
                    <w:br/>
                    <w:t>执行情况</w:t>
                  </w:r>
                  <w:r>
                    <w:rPr>
                      <w:rFonts w:ascii="宋体" w:hAnsi="宋体" w:cs="宋体" w:hint="eastAsia"/>
                      <w:kern w:val="0"/>
                      <w:sz w:val="24"/>
                    </w:rPr>
                    <w:br/>
                    <w:t>（万元）</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 xml:space="preserve"> 预算数：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right"/>
                    <w:textAlignment w:val="center"/>
                    <w:rPr>
                      <w:rFonts w:ascii="宋体" w:hAnsi="宋体" w:cs="宋体"/>
                      <w:sz w:val="24"/>
                    </w:rPr>
                  </w:pPr>
                  <w:r>
                    <w:rPr>
                      <w:rFonts w:ascii="宋体" w:hAnsi="宋体" w:cs="宋体" w:hint="eastAsia"/>
                      <w:sz w:val="24"/>
                    </w:rPr>
                    <w:t>409.2</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 xml:space="preserve"> 执行数：</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right"/>
                    <w:textAlignment w:val="center"/>
                    <w:rPr>
                      <w:rFonts w:ascii="宋体" w:hAnsi="宋体" w:cs="宋体"/>
                      <w:sz w:val="24"/>
                    </w:rPr>
                  </w:pPr>
                  <w:r>
                    <w:rPr>
                      <w:rFonts w:ascii="宋体" w:hAnsi="宋体" w:cs="宋体" w:hint="eastAsia"/>
                      <w:sz w:val="24"/>
                    </w:rPr>
                    <w:t>407</w:t>
                  </w:r>
                  <w:r w:rsidRPr="0050054D">
                    <w:rPr>
                      <w:rFonts w:ascii="宋体" w:hAnsi="宋体" w:cs="宋体" w:hint="eastAsia"/>
                      <w:sz w:val="24"/>
                    </w:rPr>
                    <w:t>.2</w:t>
                  </w:r>
                </w:p>
              </w:tc>
            </w:tr>
            <w:tr w:rsidR="00323FB5" w:rsidTr="00C94182">
              <w:trPr>
                <w:gridAfter w:val="1"/>
                <w:wAfter w:w="240" w:type="dxa"/>
                <w:trHeight w:val="555"/>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right"/>
                    <w:textAlignment w:val="center"/>
                    <w:rPr>
                      <w:rFonts w:ascii="宋体" w:hAnsi="宋体" w:cs="宋体"/>
                      <w:sz w:val="24"/>
                    </w:rPr>
                  </w:pPr>
                  <w:r>
                    <w:rPr>
                      <w:rFonts w:ascii="宋体" w:hAnsi="宋体" w:cs="宋体" w:hint="eastAsia"/>
                      <w:sz w:val="24"/>
                    </w:rPr>
                    <w:t>409.2</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right"/>
                    <w:textAlignment w:val="center"/>
                    <w:rPr>
                      <w:rFonts w:ascii="宋体" w:hAnsi="宋体" w:cs="宋体"/>
                      <w:sz w:val="24"/>
                    </w:rPr>
                  </w:pPr>
                  <w:r>
                    <w:rPr>
                      <w:rFonts w:ascii="宋体" w:hAnsi="宋体" w:cs="宋体" w:hint="eastAsia"/>
                      <w:sz w:val="24"/>
                    </w:rPr>
                    <w:t>407</w:t>
                  </w:r>
                  <w:r w:rsidRPr="0050054D">
                    <w:rPr>
                      <w:rFonts w:ascii="宋体" w:hAnsi="宋体" w:cs="宋体" w:hint="eastAsia"/>
                      <w:sz w:val="24"/>
                    </w:rPr>
                    <w:t>.2</w:t>
                  </w:r>
                </w:p>
              </w:tc>
            </w:tr>
            <w:tr w:rsidR="00323FB5" w:rsidTr="00C94182">
              <w:trPr>
                <w:gridAfter w:val="1"/>
                <w:wAfter w:w="240" w:type="dxa"/>
                <w:trHeight w:val="341"/>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p>
              </w:tc>
            </w:tr>
            <w:tr w:rsidR="00323FB5" w:rsidTr="00C94182">
              <w:trPr>
                <w:gridAfter w:val="1"/>
                <w:wAfter w:w="240" w:type="dxa"/>
                <w:trHeight w:val="217"/>
              </w:trPr>
              <w:tc>
                <w:tcPr>
                  <w:tcW w:w="11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kern w:val="0"/>
                      <w:sz w:val="24"/>
                    </w:rPr>
                  </w:pPr>
                  <w:r>
                    <w:rPr>
                      <w:rFonts w:ascii="宋体" w:hAnsi="宋体" w:cs="宋体" w:hint="eastAsia"/>
                      <w:kern w:val="0"/>
                      <w:sz w:val="24"/>
                    </w:rPr>
                    <w:t>年度总体目标</w:t>
                  </w:r>
                </w:p>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完成情况</w:t>
                  </w: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预期目标</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宋体" w:hAnsi="宋体" w:cs="宋体"/>
                      <w:sz w:val="24"/>
                    </w:rPr>
                  </w:pPr>
                  <w:r>
                    <w:rPr>
                      <w:rFonts w:ascii="宋体" w:hAnsi="宋体" w:cs="宋体" w:hint="eastAsia"/>
                      <w:kern w:val="0"/>
                      <w:sz w:val="24"/>
                    </w:rPr>
                    <w:t>目标实际完成情况</w:t>
                  </w:r>
                </w:p>
              </w:tc>
            </w:tr>
            <w:tr w:rsidR="00323FB5" w:rsidTr="00C94182">
              <w:trPr>
                <w:gridAfter w:val="1"/>
                <w:wAfter w:w="240" w:type="dxa"/>
                <w:trHeight w:val="797"/>
              </w:trPr>
              <w:tc>
                <w:tcPr>
                  <w:tcW w:w="11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宋体" w:hAnsi="宋体" w:cs="宋体"/>
                      <w:sz w:val="24"/>
                    </w:rPr>
                  </w:pP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tcPr>
                <w:p w:rsidR="00323FB5" w:rsidRDefault="00323FB5" w:rsidP="00323FB5">
                  <w:pPr>
                    <w:widowControl/>
                    <w:spacing w:line="320" w:lineRule="exact"/>
                    <w:jc w:val="left"/>
                    <w:textAlignment w:val="top"/>
                    <w:rPr>
                      <w:rFonts w:ascii="宋体" w:hAnsi="宋体" w:cs="宋体"/>
                      <w:sz w:val="24"/>
                    </w:rPr>
                  </w:pPr>
                  <w:r>
                    <w:rPr>
                      <w:rFonts w:ascii="宋体" w:hAnsi="宋体" w:cs="宋体" w:hint="eastAsia"/>
                      <w:sz w:val="24"/>
                    </w:rPr>
                    <w:t>支</w:t>
                  </w:r>
                  <w:r w:rsidRPr="00323FB5">
                    <w:rPr>
                      <w:rFonts w:ascii="宋体" w:hAnsi="宋体" w:cs="宋体" w:hint="eastAsia"/>
                      <w:sz w:val="24"/>
                    </w:rPr>
                    <w:t>付协管人员的基本工资、绩效工资、养老保险、医疗保险、工伤保险、生育保险、失业保险、公积金、绩效考核奖。</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tcPr>
                <w:p w:rsidR="00323FB5" w:rsidRDefault="00323FB5" w:rsidP="00323FB5">
                  <w:pPr>
                    <w:widowControl/>
                    <w:spacing w:line="320" w:lineRule="exact"/>
                    <w:jc w:val="left"/>
                    <w:textAlignment w:val="top"/>
                    <w:rPr>
                      <w:rFonts w:ascii="宋体" w:hAnsi="宋体" w:cs="宋体"/>
                      <w:sz w:val="24"/>
                    </w:rPr>
                  </w:pPr>
                  <w:r>
                    <w:rPr>
                      <w:rFonts w:ascii="宋体" w:hAnsi="宋体" w:cs="宋体" w:hint="eastAsia"/>
                      <w:sz w:val="24"/>
                    </w:rPr>
                    <w:t>支付</w:t>
                  </w:r>
                  <w:r w:rsidRPr="00323FB5">
                    <w:rPr>
                      <w:rFonts w:ascii="宋体" w:hAnsi="宋体" w:cs="宋体" w:hint="eastAsia"/>
                      <w:sz w:val="24"/>
                    </w:rPr>
                    <w:t>协管人员的基本工资、绩效工资、养老保险、医疗保险、工伤保险、生育保险、失业保险、公积金、绩效考核奖。</w:t>
                  </w:r>
                </w:p>
              </w:tc>
            </w:tr>
            <w:tr w:rsidR="00323FB5" w:rsidTr="00C94182">
              <w:trPr>
                <w:gridAfter w:val="1"/>
                <w:wAfter w:w="240" w:type="dxa"/>
                <w:trHeight w:val="693"/>
              </w:trPr>
              <w:tc>
                <w:tcPr>
                  <w:tcW w:w="1159" w:type="dxa"/>
                  <w:vMerge w:val="restart"/>
                  <w:tcBorders>
                    <w:top w:val="single" w:sz="4" w:space="0" w:color="000000"/>
                    <w:left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年度绩效指标完成情况</w:t>
                  </w:r>
                </w:p>
              </w:tc>
              <w:tc>
                <w:tcPr>
                  <w:tcW w:w="1320" w:type="dxa"/>
                  <w:tcBorders>
                    <w:top w:val="single" w:sz="4" w:space="0" w:color="000000"/>
                    <w:left w:val="nil"/>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一级</w:t>
                  </w:r>
                </w:p>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二级</w:t>
                  </w:r>
                </w:p>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三级</w:t>
                  </w:r>
                </w:p>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预期指标值</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实际完成指标值</w:t>
                  </w:r>
                </w:p>
              </w:tc>
            </w:tr>
            <w:tr w:rsidR="00323FB5"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完成</w:t>
                  </w:r>
                </w:p>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数量指标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编外聘用人员</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Pr>
                      <w:rFonts w:ascii="宋体" w:cs="宋体" w:hint="eastAsia"/>
                      <w:color w:val="000000"/>
                      <w:sz w:val="24"/>
                    </w:rPr>
                    <w:t>110人</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Pr>
                      <w:rFonts w:ascii="宋体" w:cs="宋体" w:hint="eastAsia"/>
                      <w:color w:val="000000"/>
                      <w:sz w:val="24"/>
                    </w:rPr>
                    <w:t>110人</w:t>
                  </w:r>
                </w:p>
              </w:tc>
            </w:tr>
            <w:tr w:rsidR="00323FB5"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323FB5" w:rsidRDefault="00323FB5" w:rsidP="00323FB5">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质量指标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工资发放准时率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≥85%</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≥85%</w:t>
                  </w:r>
                </w:p>
              </w:tc>
            </w:tr>
            <w:tr w:rsidR="00323FB5"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323FB5" w:rsidRDefault="00323FB5" w:rsidP="00323FB5">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时效指标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宋体" w:cs="宋体"/>
                      <w:color w:val="000000"/>
                      <w:sz w:val="24"/>
                    </w:rPr>
                  </w:pPr>
                  <w:r>
                    <w:rPr>
                      <w:rFonts w:ascii="宋体" w:cs="宋体" w:hint="eastAsia"/>
                      <w:color w:val="000000"/>
                      <w:sz w:val="24"/>
                    </w:rPr>
                    <w:t>完成时间</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r>
            <w:tr w:rsidR="00323FB5"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323FB5" w:rsidRDefault="00323FB5" w:rsidP="00323FB5">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成本指标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Pr>
                      <w:rFonts w:ascii="宋体" w:cs="宋体" w:hint="eastAsia"/>
                      <w:color w:val="000000"/>
                      <w:sz w:val="24"/>
                    </w:rPr>
                    <w:t>工资支付</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宋体" w:cs="宋体"/>
                      <w:color w:val="000000"/>
                      <w:sz w:val="24"/>
                    </w:rPr>
                  </w:pPr>
                  <w:r>
                    <w:rPr>
                      <w:rFonts w:ascii="宋体" w:cs="宋体" w:hint="eastAsia"/>
                      <w:color w:val="000000"/>
                      <w:sz w:val="24"/>
                    </w:rPr>
                    <w:t>预算控制内</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宋体" w:cs="宋体"/>
                      <w:color w:val="000000"/>
                      <w:sz w:val="24"/>
                    </w:rPr>
                  </w:pPr>
                  <w:r>
                    <w:rPr>
                      <w:rFonts w:ascii="宋体" w:cs="宋体" w:hint="eastAsia"/>
                      <w:color w:val="000000"/>
                      <w:sz w:val="24"/>
                    </w:rPr>
                    <w:t>预算控制内</w:t>
                  </w:r>
                </w:p>
              </w:tc>
            </w:tr>
            <w:tr w:rsidR="00323FB5"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效益</w:t>
                  </w:r>
                  <w:r>
                    <w:rPr>
                      <w:rFonts w:ascii="仿宋_GB2312" w:eastAsia="仿宋_GB2312" w:hAnsi="仿宋_GB2312" w:cs="仿宋_GB2312" w:hint="eastAsia"/>
                      <w:kern w:val="0"/>
                      <w:sz w:val="28"/>
                      <w:szCs w:val="28"/>
                    </w:rPr>
                    <w:b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社会效益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Pr>
                      <w:rFonts w:ascii="宋体" w:cs="宋体" w:hint="eastAsia"/>
                      <w:color w:val="000000"/>
                      <w:sz w:val="24"/>
                    </w:rPr>
                    <w:t>对工作的促进</w:t>
                  </w:r>
                  <w:r w:rsidR="00323FB5" w:rsidRPr="00323FB5">
                    <w:rPr>
                      <w:rFonts w:ascii="宋体" w:cs="宋体" w:hint="eastAsia"/>
                      <w:color w:val="000000"/>
                      <w:sz w:val="24"/>
                    </w:rPr>
                    <w:t>作用</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推动市容市貌秩序更加良好发</w:t>
                  </w:r>
                  <w:r w:rsidRPr="00247F05">
                    <w:rPr>
                      <w:rFonts w:ascii="宋体" w:cs="宋体" w:hint="eastAsia"/>
                      <w:color w:val="000000"/>
                      <w:sz w:val="24"/>
                    </w:rPr>
                    <w:lastRenderedPageBreak/>
                    <w:t>展，补充现有执法力量不足</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lastRenderedPageBreak/>
                    <w:t>推动市容市貌秩序更加良好发展，补</w:t>
                  </w:r>
                  <w:r w:rsidRPr="00247F05">
                    <w:rPr>
                      <w:rFonts w:ascii="宋体" w:cs="宋体" w:hint="eastAsia"/>
                      <w:color w:val="000000"/>
                      <w:sz w:val="24"/>
                    </w:rPr>
                    <w:lastRenderedPageBreak/>
                    <w:t>充现有执法力量不足</w:t>
                  </w:r>
                </w:p>
              </w:tc>
            </w:tr>
            <w:tr w:rsidR="00323FB5"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323FB5" w:rsidRDefault="00323FB5" w:rsidP="00323FB5">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可持续影响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协助执法工作</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违法行为劝导、法律法规宣传、市容秩序维护</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宋体" w:cs="宋体"/>
                      <w:color w:val="000000"/>
                      <w:sz w:val="24"/>
                    </w:rPr>
                  </w:pPr>
                  <w:r w:rsidRPr="00247F05">
                    <w:rPr>
                      <w:rFonts w:ascii="宋体" w:cs="宋体" w:hint="eastAsia"/>
                      <w:color w:val="000000"/>
                      <w:sz w:val="24"/>
                    </w:rPr>
                    <w:t>违法行为劝导、法律法规宣传、市容秩序维护</w:t>
                  </w:r>
                </w:p>
              </w:tc>
            </w:tr>
            <w:tr w:rsidR="00323FB5" w:rsidTr="00C94182">
              <w:trPr>
                <w:gridAfter w:val="1"/>
                <w:wAfter w:w="240" w:type="dxa"/>
                <w:trHeight w:val="530"/>
              </w:trPr>
              <w:tc>
                <w:tcPr>
                  <w:tcW w:w="1159" w:type="dxa"/>
                  <w:vMerge/>
                  <w:tcBorders>
                    <w:left w:val="single" w:sz="4" w:space="0" w:color="000000"/>
                    <w:bottom w:val="single" w:sz="4" w:space="0" w:color="000000"/>
                    <w:right w:val="single" w:sz="4" w:space="0" w:color="000000"/>
                  </w:tcBorders>
                  <w:shd w:val="clear" w:color="auto" w:fill="auto"/>
                  <w:vAlign w:val="center"/>
                </w:tcPr>
                <w:p w:rsidR="00323FB5" w:rsidRDefault="00323FB5" w:rsidP="00323FB5">
                  <w:pPr>
                    <w:spacing w:line="320" w:lineRule="exact"/>
                    <w:jc w:val="center"/>
                    <w:rPr>
                      <w:rFonts w:ascii="仿宋_GB2312" w:eastAsia="仿宋_GB2312" w:hAnsi="仿宋_GB2312" w:cs="仿宋_GB2312"/>
                      <w:sz w:val="28"/>
                      <w:szCs w:val="2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proofErr w:type="gramStart"/>
                  <w:r>
                    <w:rPr>
                      <w:rFonts w:ascii="仿宋_GB2312" w:eastAsia="仿宋_GB2312" w:hAnsi="仿宋_GB2312" w:cs="仿宋_GB2312" w:hint="eastAsia"/>
                      <w:kern w:val="0"/>
                      <w:sz w:val="28"/>
                      <w:szCs w:val="28"/>
                    </w:rPr>
                    <w:t>满意</w:t>
                  </w:r>
                  <w:proofErr w:type="gramEnd"/>
                  <w:r>
                    <w:rPr>
                      <w:rFonts w:ascii="仿宋_GB2312" w:eastAsia="仿宋_GB2312" w:hAnsi="仿宋_GB2312" w:cs="仿宋_GB2312" w:hint="eastAsia"/>
                      <w:kern w:val="0"/>
                      <w:sz w:val="28"/>
                      <w:szCs w:val="28"/>
                    </w:rPr>
                    <w:br/>
                    <w:t>度指标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满意度</w:t>
                  </w:r>
                </w:p>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247F05" w:rsidP="00323FB5">
                  <w:pPr>
                    <w:widowControl/>
                    <w:spacing w:line="320" w:lineRule="exact"/>
                    <w:jc w:val="center"/>
                    <w:textAlignment w:val="bottom"/>
                    <w:rPr>
                      <w:rFonts w:ascii="仿宋_GB2312" w:eastAsia="仿宋_GB2312" w:hAnsi="仿宋_GB2312" w:cs="仿宋_GB2312"/>
                      <w:sz w:val="28"/>
                      <w:szCs w:val="28"/>
                    </w:rPr>
                  </w:pPr>
                  <w:r>
                    <w:rPr>
                      <w:rFonts w:ascii="宋体" w:cs="宋体" w:hint="eastAsia"/>
                      <w:color w:val="000000"/>
                      <w:sz w:val="24"/>
                    </w:rPr>
                    <w:t>服务对象</w:t>
                  </w:r>
                  <w:r w:rsidR="00323FB5" w:rsidRPr="00323FB5">
                    <w:rPr>
                      <w:rFonts w:ascii="宋体" w:cs="宋体" w:hint="eastAsia"/>
                      <w:color w:val="000000"/>
                      <w:sz w:val="24"/>
                    </w:rPr>
                    <w:t>满意度</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宋体" w:cs="宋体" w:hint="eastAsia"/>
                      <w:color w:val="000000"/>
                      <w:sz w:val="24"/>
                    </w:rPr>
                    <w:t>较满意</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23FB5" w:rsidRDefault="00323FB5" w:rsidP="00323FB5">
                  <w:pPr>
                    <w:widowControl/>
                    <w:spacing w:line="320" w:lineRule="exact"/>
                    <w:jc w:val="center"/>
                    <w:textAlignment w:val="bottom"/>
                    <w:rPr>
                      <w:rFonts w:ascii="仿宋_GB2312" w:eastAsia="仿宋_GB2312" w:hAnsi="仿宋_GB2312" w:cs="仿宋_GB2312"/>
                      <w:sz w:val="28"/>
                      <w:szCs w:val="28"/>
                    </w:rPr>
                  </w:pPr>
                  <w:r>
                    <w:rPr>
                      <w:rFonts w:ascii="宋体" w:cs="宋体" w:hint="eastAsia"/>
                      <w:color w:val="000000"/>
                      <w:sz w:val="24"/>
                    </w:rPr>
                    <w:t>较满意</w:t>
                  </w:r>
                </w:p>
              </w:tc>
            </w:tr>
          </w:tbl>
          <w:p w:rsidR="00681C25" w:rsidRDefault="00681C25" w:rsidP="00EF15D7">
            <w:pPr>
              <w:widowControl/>
              <w:spacing w:line="600" w:lineRule="exact"/>
              <w:jc w:val="center"/>
              <w:textAlignment w:val="center"/>
              <w:rPr>
                <w:rFonts w:ascii="宋体" w:cs="宋体"/>
                <w:color w:val="000000"/>
                <w:sz w:val="36"/>
                <w:szCs w:val="36"/>
              </w:rPr>
            </w:pPr>
          </w:p>
        </w:tc>
      </w:tr>
    </w:tbl>
    <w:p w:rsidR="00794FFB" w:rsidRPr="00794FFB" w:rsidRDefault="00794FFB" w:rsidP="000B0BF1">
      <w:pPr>
        <w:pStyle w:val="2"/>
        <w:ind w:leftChars="0" w:firstLine="0"/>
        <w:rPr>
          <w:rFonts w:hAnsi="仿宋_GB2312"/>
        </w:rPr>
      </w:pPr>
    </w:p>
    <w:tbl>
      <w:tblPr>
        <w:tblpPr w:leftFromText="180" w:rightFromText="180" w:vertAnchor="text" w:horzAnchor="page" w:tblpX="1281" w:tblpY="660"/>
        <w:tblOverlap w:val="never"/>
        <w:tblW w:w="9817" w:type="dxa"/>
        <w:tblLook w:val="04A0"/>
      </w:tblPr>
      <w:tblGrid>
        <w:gridCol w:w="1159"/>
        <w:gridCol w:w="1320"/>
        <w:gridCol w:w="1440"/>
        <w:gridCol w:w="1530"/>
        <w:gridCol w:w="1965"/>
        <w:gridCol w:w="2163"/>
        <w:gridCol w:w="240"/>
      </w:tblGrid>
      <w:tr w:rsidR="00A7237B" w:rsidTr="00C94182">
        <w:trPr>
          <w:trHeight w:val="675"/>
        </w:trPr>
        <w:tc>
          <w:tcPr>
            <w:tcW w:w="9577" w:type="dxa"/>
            <w:gridSpan w:val="6"/>
            <w:tcBorders>
              <w:top w:val="nil"/>
              <w:left w:val="nil"/>
              <w:bottom w:val="nil"/>
              <w:right w:val="nil"/>
            </w:tcBorders>
            <w:shd w:val="clear" w:color="auto" w:fill="auto"/>
            <w:vAlign w:val="center"/>
          </w:tcPr>
          <w:p w:rsidR="00A7237B" w:rsidRDefault="00A7237B" w:rsidP="00C94182">
            <w:pPr>
              <w:widowControl/>
              <w:jc w:val="center"/>
              <w:textAlignment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2021年100万元以上（含）特定目标类部门预算项目绩效目标自评</w:t>
            </w:r>
          </w:p>
          <w:p w:rsidR="00A7237B" w:rsidRDefault="00A7237B" w:rsidP="00C94182">
            <w:pPr>
              <w:pStyle w:val="a3"/>
              <w:spacing w:before="72"/>
              <w:jc w:val="center"/>
              <w:rPr>
                <w:rFonts w:eastAsiaTheme="minorEastAsia"/>
              </w:rPr>
            </w:pPr>
            <w:r w:rsidRPr="00A7237B">
              <w:rPr>
                <w:rFonts w:asciiTheme="minorEastAsia" w:eastAsiaTheme="minorEastAsia" w:hAnsiTheme="minorEastAsia" w:cstheme="minorEastAsia" w:hint="eastAsia"/>
                <w:b/>
                <w:bCs/>
                <w:sz w:val="28"/>
                <w:szCs w:val="28"/>
              </w:rPr>
              <w:t>办案专项经费</w:t>
            </w:r>
            <w:r w:rsidRPr="0050054D">
              <w:rPr>
                <w:rFonts w:asciiTheme="minorEastAsia" w:eastAsiaTheme="minorEastAsia" w:hAnsiTheme="minorEastAsia" w:cstheme="minorEastAsia" w:hint="eastAsia"/>
                <w:b/>
                <w:bCs/>
                <w:sz w:val="28"/>
                <w:szCs w:val="28"/>
              </w:rPr>
              <w:t>项目</w:t>
            </w:r>
          </w:p>
        </w:tc>
        <w:tc>
          <w:tcPr>
            <w:tcW w:w="240" w:type="dxa"/>
            <w:tcBorders>
              <w:top w:val="nil"/>
              <w:left w:val="nil"/>
              <w:bottom w:val="nil"/>
              <w:right w:val="nil"/>
            </w:tcBorders>
            <w:shd w:val="clear" w:color="auto" w:fill="auto"/>
            <w:vAlign w:val="center"/>
          </w:tcPr>
          <w:p w:rsidR="00A7237B" w:rsidRDefault="00A7237B" w:rsidP="00C94182">
            <w:pPr>
              <w:widowControl/>
              <w:jc w:val="center"/>
              <w:textAlignment w:val="center"/>
              <w:rPr>
                <w:rFonts w:ascii="宋体" w:hAnsi="宋体" w:cs="宋体"/>
                <w:b/>
                <w:kern w:val="0"/>
                <w:sz w:val="32"/>
                <w:szCs w:val="32"/>
              </w:rPr>
            </w:pPr>
          </w:p>
        </w:tc>
      </w:tr>
      <w:tr w:rsidR="00A7237B" w:rsidTr="00C94182">
        <w:trPr>
          <w:gridAfter w:val="1"/>
          <w:wAfter w:w="240" w:type="dxa"/>
          <w:trHeight w:val="254"/>
        </w:trPr>
        <w:tc>
          <w:tcPr>
            <w:tcW w:w="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主管部门及代码</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textAlignment w:val="center"/>
              <w:rPr>
                <w:rFonts w:ascii="宋体" w:hAnsi="宋体" w:cs="宋体"/>
                <w:sz w:val="24"/>
              </w:rPr>
            </w:pPr>
            <w:r>
              <w:rPr>
                <w:rFonts w:ascii="宋体" w:hAnsi="宋体" w:cs="宋体" w:hint="eastAsia"/>
                <w:sz w:val="24"/>
              </w:rPr>
              <w:t>德阳市城市管理行政执法局（314）</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实施单位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sidRPr="00323FB5">
              <w:rPr>
                <w:rFonts w:ascii="宋体" w:hAnsi="宋体" w:cs="宋体" w:hint="eastAsia"/>
                <w:sz w:val="24"/>
              </w:rPr>
              <w:t>德阳市城市管理行政执法支队</w:t>
            </w:r>
          </w:p>
        </w:tc>
      </w:tr>
      <w:tr w:rsidR="00A7237B" w:rsidTr="00C94182">
        <w:trPr>
          <w:gridAfter w:val="1"/>
          <w:wAfter w:w="240" w:type="dxa"/>
          <w:trHeight w:val="341"/>
        </w:trPr>
        <w:tc>
          <w:tcPr>
            <w:tcW w:w="24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项目预算</w:t>
            </w:r>
            <w:r>
              <w:rPr>
                <w:rFonts w:ascii="宋体" w:hAnsi="宋体" w:cs="宋体" w:hint="eastAsia"/>
                <w:kern w:val="0"/>
                <w:sz w:val="24"/>
              </w:rPr>
              <w:br/>
              <w:t>执行情况</w:t>
            </w:r>
            <w:r>
              <w:rPr>
                <w:rFonts w:ascii="宋体" w:hAnsi="宋体" w:cs="宋体" w:hint="eastAsia"/>
                <w:kern w:val="0"/>
                <w:sz w:val="24"/>
              </w:rPr>
              <w:br/>
              <w:t>（万元）</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 xml:space="preserve"> 预算数：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A7237B">
            <w:pPr>
              <w:widowControl/>
              <w:spacing w:line="320" w:lineRule="exact"/>
              <w:jc w:val="right"/>
              <w:textAlignment w:val="center"/>
              <w:rPr>
                <w:rFonts w:ascii="宋体" w:hAnsi="宋体" w:cs="宋体"/>
                <w:sz w:val="24"/>
              </w:rPr>
            </w:pPr>
            <w:r w:rsidRPr="00A7237B">
              <w:rPr>
                <w:rFonts w:ascii="宋体" w:hAnsi="宋体" w:cs="宋体" w:hint="eastAsia"/>
                <w:sz w:val="24"/>
              </w:rPr>
              <w:t xml:space="preserve">                   113.00 </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 xml:space="preserve"> 执行数：</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right"/>
              <w:textAlignment w:val="center"/>
              <w:rPr>
                <w:rFonts w:ascii="宋体" w:hAnsi="宋体" w:cs="宋体"/>
                <w:sz w:val="24"/>
              </w:rPr>
            </w:pPr>
            <w:r w:rsidRPr="00A7237B">
              <w:rPr>
                <w:rFonts w:ascii="宋体" w:hAnsi="宋体" w:cs="宋体"/>
                <w:sz w:val="24"/>
              </w:rPr>
              <w:t>111.1</w:t>
            </w:r>
          </w:p>
        </w:tc>
      </w:tr>
      <w:tr w:rsidR="00A7237B" w:rsidTr="00C94182">
        <w:trPr>
          <w:gridAfter w:val="1"/>
          <w:wAfter w:w="240" w:type="dxa"/>
          <w:trHeight w:val="555"/>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right"/>
              <w:textAlignment w:val="center"/>
              <w:rPr>
                <w:rFonts w:ascii="宋体" w:hAnsi="宋体" w:cs="宋体"/>
                <w:sz w:val="24"/>
              </w:rPr>
            </w:pPr>
            <w:r>
              <w:rPr>
                <w:rFonts w:ascii="宋体" w:hAnsi="宋体" w:cs="宋体" w:hint="eastAsia"/>
                <w:sz w:val="24"/>
              </w:rPr>
              <w:t>113.00</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right"/>
              <w:textAlignment w:val="center"/>
              <w:rPr>
                <w:rFonts w:ascii="宋体" w:hAnsi="宋体" w:cs="宋体"/>
                <w:sz w:val="24"/>
              </w:rPr>
            </w:pPr>
            <w:r w:rsidRPr="00A7237B">
              <w:rPr>
                <w:rFonts w:ascii="宋体" w:hAnsi="宋体" w:cs="宋体"/>
                <w:sz w:val="24"/>
              </w:rPr>
              <w:t>111.1</w:t>
            </w:r>
          </w:p>
        </w:tc>
      </w:tr>
      <w:tr w:rsidR="00A7237B" w:rsidTr="00C94182">
        <w:trPr>
          <w:gridAfter w:val="1"/>
          <w:wAfter w:w="240" w:type="dxa"/>
          <w:trHeight w:val="341"/>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p>
        </w:tc>
      </w:tr>
      <w:tr w:rsidR="00A7237B" w:rsidTr="00C94182">
        <w:trPr>
          <w:gridAfter w:val="1"/>
          <w:wAfter w:w="240" w:type="dxa"/>
          <w:trHeight w:val="217"/>
        </w:trPr>
        <w:tc>
          <w:tcPr>
            <w:tcW w:w="11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kern w:val="0"/>
                <w:sz w:val="24"/>
              </w:rPr>
            </w:pPr>
            <w:r>
              <w:rPr>
                <w:rFonts w:ascii="宋体" w:hAnsi="宋体" w:cs="宋体" w:hint="eastAsia"/>
                <w:kern w:val="0"/>
                <w:sz w:val="24"/>
              </w:rPr>
              <w:t>年度总体目标</w:t>
            </w:r>
          </w:p>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完成情况</w:t>
            </w: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预期目标</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宋体" w:hAnsi="宋体" w:cs="宋体"/>
                <w:sz w:val="24"/>
              </w:rPr>
            </w:pPr>
            <w:r>
              <w:rPr>
                <w:rFonts w:ascii="宋体" w:hAnsi="宋体" w:cs="宋体" w:hint="eastAsia"/>
                <w:kern w:val="0"/>
                <w:sz w:val="24"/>
              </w:rPr>
              <w:t>目标实际完成情况</w:t>
            </w:r>
          </w:p>
        </w:tc>
      </w:tr>
      <w:tr w:rsidR="00A7237B" w:rsidTr="00C94182">
        <w:trPr>
          <w:gridAfter w:val="1"/>
          <w:wAfter w:w="240" w:type="dxa"/>
          <w:trHeight w:val="797"/>
        </w:trPr>
        <w:tc>
          <w:tcPr>
            <w:tcW w:w="11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宋体" w:hAnsi="宋体" w:cs="宋体"/>
                <w:sz w:val="24"/>
              </w:rPr>
            </w:pP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tcPr>
          <w:p w:rsidR="00A7237B" w:rsidRDefault="00A7237B" w:rsidP="00C94182">
            <w:pPr>
              <w:widowControl/>
              <w:spacing w:line="320" w:lineRule="exact"/>
              <w:jc w:val="left"/>
              <w:textAlignment w:val="top"/>
              <w:rPr>
                <w:rFonts w:ascii="宋体" w:hAnsi="宋体" w:cs="宋体"/>
                <w:sz w:val="24"/>
              </w:rPr>
            </w:pPr>
            <w:r w:rsidRPr="00A7237B">
              <w:rPr>
                <w:rFonts w:ascii="宋体" w:hAnsi="宋体" w:cs="宋体" w:hint="eastAsia"/>
                <w:sz w:val="24"/>
              </w:rPr>
              <w:t>全面清查并处理建成区违法建设，遏制新增违法建设，提升城市管理水平，完成本年度建成区违法建设专项治理工作五年行动目标；治理扬尘污染，加大道路扬尘设卡检查力度；落实秸秆禁烧督查工作。</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tcPr>
          <w:p w:rsidR="00A7237B" w:rsidRDefault="00A7237B" w:rsidP="00C94182">
            <w:pPr>
              <w:widowControl/>
              <w:spacing w:line="320" w:lineRule="exact"/>
              <w:jc w:val="left"/>
              <w:textAlignment w:val="top"/>
              <w:rPr>
                <w:rFonts w:ascii="宋体" w:hAnsi="宋体" w:cs="宋体"/>
                <w:sz w:val="24"/>
              </w:rPr>
            </w:pPr>
            <w:r w:rsidRPr="00A7237B">
              <w:rPr>
                <w:rFonts w:ascii="宋体" w:hAnsi="宋体" w:cs="宋体" w:hint="eastAsia"/>
                <w:sz w:val="24"/>
              </w:rPr>
              <w:t>全面清查并处理建成区违法建设，遏制新增违法建设，提升城市管理水平，完成本年度建成区违法建设专项治理工作五年行动目标；治理扬尘污染，加大道路扬尘设卡检查力度；落实秸秆禁烧督查工作。</w:t>
            </w:r>
          </w:p>
        </w:tc>
      </w:tr>
      <w:tr w:rsidR="00A7237B" w:rsidTr="00C94182">
        <w:trPr>
          <w:gridAfter w:val="1"/>
          <w:wAfter w:w="240" w:type="dxa"/>
          <w:trHeight w:val="693"/>
        </w:trPr>
        <w:tc>
          <w:tcPr>
            <w:tcW w:w="1159" w:type="dxa"/>
            <w:vMerge w:val="restart"/>
            <w:tcBorders>
              <w:top w:val="single" w:sz="4" w:space="0" w:color="000000"/>
              <w:left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年度绩效指标完成情况</w:t>
            </w:r>
          </w:p>
        </w:tc>
        <w:tc>
          <w:tcPr>
            <w:tcW w:w="1320" w:type="dxa"/>
            <w:tcBorders>
              <w:top w:val="single" w:sz="4" w:space="0" w:color="000000"/>
              <w:left w:val="nil"/>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一级</w:t>
            </w:r>
          </w:p>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二级</w:t>
            </w:r>
          </w:p>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三级</w:t>
            </w:r>
          </w:p>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预期指标值</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实际完成指标值</w:t>
            </w:r>
          </w:p>
        </w:tc>
      </w:tr>
      <w:tr w:rsidR="00A7237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完成</w:t>
            </w:r>
          </w:p>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数量指标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sidRPr="00A7237B">
              <w:rPr>
                <w:rFonts w:ascii="宋体" w:cs="宋体" w:hint="eastAsia"/>
                <w:color w:val="000000"/>
                <w:sz w:val="24"/>
              </w:rPr>
              <w:t>违法建（构）筑物拆除工程施工企业</w:t>
            </w:r>
            <w:r>
              <w:rPr>
                <w:rFonts w:ascii="宋体" w:cs="宋体" w:hint="eastAsia"/>
                <w:color w:val="000000"/>
                <w:sz w:val="24"/>
              </w:rPr>
              <w:t>、</w:t>
            </w:r>
            <w:r w:rsidRPr="00A7237B">
              <w:rPr>
                <w:rFonts w:ascii="宋体" w:cs="宋体" w:hint="eastAsia"/>
                <w:color w:val="000000"/>
                <w:sz w:val="24"/>
              </w:rPr>
              <w:t>环境噪音和油烟污染影响评价检测公司</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6家</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6家</w:t>
            </w:r>
          </w:p>
        </w:tc>
      </w:tr>
      <w:tr w:rsidR="00A7237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A7237B" w:rsidRDefault="00A7237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质量指标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sidRPr="00A7237B">
              <w:rPr>
                <w:rFonts w:ascii="宋体" w:cs="宋体" w:hint="eastAsia"/>
                <w:color w:val="000000"/>
                <w:sz w:val="24"/>
              </w:rPr>
              <w:t>5年拆</w:t>
            </w:r>
            <w:proofErr w:type="gramStart"/>
            <w:r w:rsidRPr="00A7237B">
              <w:rPr>
                <w:rFonts w:ascii="宋体" w:cs="宋体" w:hint="eastAsia"/>
                <w:color w:val="000000"/>
                <w:sz w:val="24"/>
              </w:rPr>
              <w:t>违计划</w:t>
            </w:r>
            <w:proofErr w:type="gramEnd"/>
            <w:r w:rsidRPr="00A7237B">
              <w:rPr>
                <w:rFonts w:ascii="宋体" w:cs="宋体" w:hint="eastAsia"/>
                <w:color w:val="000000"/>
                <w:sz w:val="24"/>
              </w:rPr>
              <w:t>完成率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A7237B">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9</w:t>
            </w:r>
            <w:r w:rsidRPr="00247F05">
              <w:rPr>
                <w:rFonts w:ascii="宋体" w:cs="宋体" w:hint="eastAsia"/>
                <w:color w:val="000000"/>
                <w:sz w:val="24"/>
              </w:rPr>
              <w:t>5%</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A7237B">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9</w:t>
            </w:r>
            <w:r w:rsidRPr="00247F05">
              <w:rPr>
                <w:rFonts w:ascii="宋体" w:cs="宋体" w:hint="eastAsia"/>
                <w:color w:val="000000"/>
                <w:sz w:val="24"/>
              </w:rPr>
              <w:t>5%</w:t>
            </w:r>
          </w:p>
        </w:tc>
      </w:tr>
      <w:tr w:rsidR="00A7237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A7237B" w:rsidRDefault="00A7237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时效指标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完成时间</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r>
      <w:tr w:rsidR="00A7237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A7237B" w:rsidRDefault="00A7237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成本指标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工资支付</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预算控制内</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Pr>
                <w:rFonts w:ascii="宋体" w:cs="宋体" w:hint="eastAsia"/>
                <w:color w:val="000000"/>
                <w:sz w:val="24"/>
              </w:rPr>
              <w:t>预算控制内</w:t>
            </w:r>
          </w:p>
        </w:tc>
      </w:tr>
      <w:tr w:rsidR="00A7237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效益</w:t>
            </w:r>
            <w:r>
              <w:rPr>
                <w:rFonts w:ascii="仿宋_GB2312" w:eastAsia="仿宋_GB2312" w:hAnsi="仿宋_GB2312" w:cs="仿宋_GB2312" w:hint="eastAsia"/>
                <w:kern w:val="0"/>
                <w:sz w:val="28"/>
                <w:szCs w:val="28"/>
              </w:rPr>
              <w:b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社会效益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sidRPr="00A7237B">
              <w:rPr>
                <w:rFonts w:ascii="宋体" w:cs="宋体" w:hint="eastAsia"/>
                <w:color w:val="000000"/>
                <w:sz w:val="24"/>
              </w:rPr>
              <w:t>对工作的促进作用</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sidRPr="00A7237B">
              <w:rPr>
                <w:rFonts w:ascii="宋体" w:cs="宋体" w:hint="eastAsia"/>
                <w:color w:val="000000"/>
                <w:sz w:val="24"/>
              </w:rPr>
              <w:t>排除影响城市规划的建设行为，保障道路扬尘设卡力度</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宋体" w:cs="宋体"/>
                <w:color w:val="000000"/>
                <w:sz w:val="24"/>
              </w:rPr>
            </w:pPr>
            <w:r w:rsidRPr="00A7237B">
              <w:rPr>
                <w:rFonts w:ascii="宋体" w:cs="宋体" w:hint="eastAsia"/>
                <w:color w:val="000000"/>
                <w:sz w:val="24"/>
              </w:rPr>
              <w:t>排除影响城市规划的建设行为，保障道路扬尘设卡力度</w:t>
            </w:r>
          </w:p>
        </w:tc>
      </w:tr>
      <w:tr w:rsidR="00A7237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A7237B" w:rsidRDefault="00A7237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可持续影响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C94182">
            <w:pPr>
              <w:widowControl/>
              <w:spacing w:line="320" w:lineRule="exact"/>
              <w:jc w:val="center"/>
              <w:textAlignment w:val="bottom"/>
              <w:rPr>
                <w:rFonts w:ascii="宋体" w:cs="宋体"/>
                <w:color w:val="000000"/>
                <w:sz w:val="24"/>
              </w:rPr>
            </w:pPr>
            <w:r w:rsidRPr="00AA1F41">
              <w:rPr>
                <w:rFonts w:ascii="宋体" w:cs="宋体" w:hint="eastAsia"/>
                <w:color w:val="000000"/>
                <w:sz w:val="24"/>
              </w:rPr>
              <w:t>运行情况</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C94182">
            <w:pPr>
              <w:widowControl/>
              <w:spacing w:line="320" w:lineRule="exact"/>
              <w:jc w:val="center"/>
              <w:textAlignment w:val="bottom"/>
              <w:rPr>
                <w:rFonts w:ascii="宋体" w:cs="宋体"/>
                <w:color w:val="000000"/>
                <w:sz w:val="24"/>
              </w:rPr>
            </w:pPr>
            <w:r>
              <w:rPr>
                <w:rFonts w:ascii="宋体" w:cs="宋体" w:hint="eastAsia"/>
                <w:color w:val="000000"/>
                <w:sz w:val="24"/>
              </w:rPr>
              <w:t>良好</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C94182">
            <w:pPr>
              <w:widowControl/>
              <w:spacing w:line="320" w:lineRule="exact"/>
              <w:jc w:val="center"/>
              <w:textAlignment w:val="bottom"/>
              <w:rPr>
                <w:rFonts w:ascii="宋体" w:cs="宋体"/>
                <w:color w:val="000000"/>
                <w:sz w:val="24"/>
              </w:rPr>
            </w:pPr>
            <w:r>
              <w:rPr>
                <w:rFonts w:ascii="宋体" w:cs="宋体" w:hint="eastAsia"/>
                <w:color w:val="000000"/>
                <w:sz w:val="24"/>
              </w:rPr>
              <w:t>良好</w:t>
            </w:r>
          </w:p>
        </w:tc>
      </w:tr>
      <w:tr w:rsidR="00A7237B" w:rsidTr="00C94182">
        <w:trPr>
          <w:gridAfter w:val="1"/>
          <w:wAfter w:w="240" w:type="dxa"/>
          <w:trHeight w:val="530"/>
        </w:trPr>
        <w:tc>
          <w:tcPr>
            <w:tcW w:w="1159" w:type="dxa"/>
            <w:vMerge/>
            <w:tcBorders>
              <w:left w:val="single" w:sz="4" w:space="0" w:color="000000"/>
              <w:bottom w:val="single" w:sz="4" w:space="0" w:color="000000"/>
              <w:right w:val="single" w:sz="4" w:space="0" w:color="000000"/>
            </w:tcBorders>
            <w:shd w:val="clear" w:color="auto" w:fill="auto"/>
            <w:vAlign w:val="center"/>
          </w:tcPr>
          <w:p w:rsidR="00A7237B" w:rsidRDefault="00A7237B" w:rsidP="00C94182">
            <w:pPr>
              <w:spacing w:line="320" w:lineRule="exact"/>
              <w:jc w:val="center"/>
              <w:rPr>
                <w:rFonts w:ascii="仿宋_GB2312" w:eastAsia="仿宋_GB2312" w:hAnsi="仿宋_GB2312" w:cs="仿宋_GB2312"/>
                <w:sz w:val="28"/>
                <w:szCs w:val="2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A7237B" w:rsidRDefault="00A7237B" w:rsidP="00C94182">
            <w:pPr>
              <w:widowControl/>
              <w:spacing w:line="320" w:lineRule="exact"/>
              <w:jc w:val="center"/>
              <w:textAlignment w:val="bottom"/>
              <w:rPr>
                <w:rFonts w:ascii="仿宋_GB2312" w:eastAsia="仿宋_GB2312" w:hAnsi="仿宋_GB2312" w:cs="仿宋_GB2312"/>
                <w:sz w:val="28"/>
                <w:szCs w:val="28"/>
              </w:rPr>
            </w:pPr>
            <w:proofErr w:type="gramStart"/>
            <w:r>
              <w:rPr>
                <w:rFonts w:ascii="仿宋_GB2312" w:eastAsia="仿宋_GB2312" w:hAnsi="仿宋_GB2312" w:cs="仿宋_GB2312" w:hint="eastAsia"/>
                <w:kern w:val="0"/>
                <w:sz w:val="28"/>
                <w:szCs w:val="28"/>
              </w:rPr>
              <w:t>满意</w:t>
            </w:r>
            <w:proofErr w:type="gramEnd"/>
            <w:r>
              <w:rPr>
                <w:rFonts w:ascii="仿宋_GB2312" w:eastAsia="仿宋_GB2312" w:hAnsi="仿宋_GB2312" w:cs="仿宋_GB2312" w:hint="eastAsia"/>
                <w:kern w:val="0"/>
                <w:sz w:val="28"/>
                <w:szCs w:val="28"/>
              </w:rPr>
              <w:br/>
              <w:t>度指标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7237B" w:rsidP="00C94182">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满意度</w:t>
            </w:r>
          </w:p>
          <w:p w:rsidR="00A7237B" w:rsidRDefault="00A7237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C94182">
            <w:pPr>
              <w:widowControl/>
              <w:spacing w:line="320" w:lineRule="exact"/>
              <w:jc w:val="center"/>
              <w:textAlignment w:val="bottom"/>
              <w:rPr>
                <w:rFonts w:ascii="仿宋_GB2312" w:eastAsia="仿宋_GB2312" w:hAnsi="仿宋_GB2312" w:cs="仿宋_GB2312"/>
                <w:sz w:val="28"/>
                <w:szCs w:val="28"/>
              </w:rPr>
            </w:pPr>
            <w:r w:rsidRPr="00AA1F41">
              <w:rPr>
                <w:rFonts w:ascii="宋体" w:cs="宋体" w:hint="eastAsia"/>
                <w:color w:val="000000"/>
                <w:sz w:val="24"/>
              </w:rPr>
              <w:t>市民对城市管理满意度</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AA1F41">
            <w:pPr>
              <w:widowControl/>
              <w:spacing w:line="320" w:lineRule="exact"/>
              <w:jc w:val="center"/>
              <w:textAlignment w:val="bottom"/>
              <w:rPr>
                <w:rFonts w:ascii="仿宋_GB2312" w:eastAsia="仿宋_GB2312" w:hAnsi="仿宋_GB2312" w:cs="仿宋_GB2312"/>
                <w:sz w:val="28"/>
                <w:szCs w:val="28"/>
              </w:rPr>
            </w:pPr>
            <w:r w:rsidRPr="00247F05">
              <w:rPr>
                <w:rFonts w:ascii="宋体" w:cs="宋体" w:hint="eastAsia"/>
                <w:color w:val="000000"/>
                <w:sz w:val="24"/>
              </w:rPr>
              <w:t>≥</w:t>
            </w:r>
            <w:r>
              <w:rPr>
                <w:rFonts w:ascii="宋体" w:cs="宋体" w:hint="eastAsia"/>
                <w:color w:val="000000"/>
                <w:sz w:val="24"/>
              </w:rPr>
              <w:t>70</w:t>
            </w:r>
            <w:r w:rsidRPr="00247F05">
              <w:rPr>
                <w:rFonts w:ascii="宋体" w:cs="宋体" w:hint="eastAsia"/>
                <w:color w:val="000000"/>
                <w:sz w:val="24"/>
              </w:rPr>
              <w:t>%</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237B" w:rsidRDefault="00AA1F41" w:rsidP="00C94182">
            <w:pPr>
              <w:widowControl/>
              <w:spacing w:line="320" w:lineRule="exact"/>
              <w:jc w:val="center"/>
              <w:textAlignment w:val="bottom"/>
              <w:rPr>
                <w:rFonts w:ascii="仿宋_GB2312" w:eastAsia="仿宋_GB2312" w:hAnsi="仿宋_GB2312" w:cs="仿宋_GB2312"/>
                <w:sz w:val="28"/>
                <w:szCs w:val="28"/>
              </w:rPr>
            </w:pPr>
            <w:r w:rsidRPr="00247F05">
              <w:rPr>
                <w:rFonts w:ascii="宋体" w:cs="宋体" w:hint="eastAsia"/>
                <w:color w:val="000000"/>
                <w:sz w:val="24"/>
              </w:rPr>
              <w:t>≥</w:t>
            </w:r>
            <w:r>
              <w:rPr>
                <w:rFonts w:ascii="宋体" w:cs="宋体" w:hint="eastAsia"/>
                <w:color w:val="000000"/>
                <w:sz w:val="24"/>
              </w:rPr>
              <w:t>70</w:t>
            </w:r>
            <w:r w:rsidRPr="00247F05">
              <w:rPr>
                <w:rFonts w:ascii="宋体" w:cs="宋体" w:hint="eastAsia"/>
                <w:color w:val="000000"/>
                <w:sz w:val="24"/>
              </w:rPr>
              <w:t>%</w:t>
            </w:r>
          </w:p>
        </w:tc>
      </w:tr>
      <w:tr w:rsidR="009A00CB" w:rsidTr="00C94182">
        <w:trPr>
          <w:trHeight w:val="675"/>
        </w:trPr>
        <w:tc>
          <w:tcPr>
            <w:tcW w:w="9577" w:type="dxa"/>
            <w:gridSpan w:val="6"/>
            <w:tcBorders>
              <w:top w:val="nil"/>
              <w:left w:val="nil"/>
              <w:bottom w:val="nil"/>
              <w:right w:val="nil"/>
            </w:tcBorders>
            <w:shd w:val="clear" w:color="auto" w:fill="auto"/>
            <w:vAlign w:val="center"/>
          </w:tcPr>
          <w:p w:rsidR="009A00CB" w:rsidRDefault="009A00CB" w:rsidP="00C94182">
            <w:pPr>
              <w:widowControl/>
              <w:jc w:val="center"/>
              <w:textAlignment w:val="center"/>
              <w:rPr>
                <w:rFonts w:asciiTheme="minorEastAsia" w:eastAsiaTheme="minorEastAsia" w:hAnsiTheme="minorEastAsia" w:cstheme="minorEastAsia"/>
                <w:b/>
                <w:bCs/>
                <w:sz w:val="32"/>
                <w:szCs w:val="32"/>
              </w:rPr>
            </w:pPr>
            <w:r>
              <w:rPr>
                <w:rFonts w:asciiTheme="minorEastAsia" w:eastAsiaTheme="minorEastAsia" w:hAnsiTheme="minorEastAsia" w:cstheme="minorEastAsia" w:hint="eastAsia"/>
                <w:b/>
                <w:bCs/>
                <w:sz w:val="32"/>
                <w:szCs w:val="32"/>
              </w:rPr>
              <w:t>2021年100万元以上（含）特定目标类部门预算项目绩效目标自评</w:t>
            </w:r>
          </w:p>
          <w:p w:rsidR="009A00CB" w:rsidRDefault="009A00CB" w:rsidP="00C94182">
            <w:pPr>
              <w:pStyle w:val="a3"/>
              <w:spacing w:before="72"/>
              <w:jc w:val="center"/>
              <w:rPr>
                <w:rFonts w:eastAsiaTheme="minorEastAsia"/>
              </w:rPr>
            </w:pPr>
            <w:r w:rsidRPr="009A00CB">
              <w:rPr>
                <w:rFonts w:asciiTheme="minorEastAsia" w:eastAsiaTheme="minorEastAsia" w:hAnsiTheme="minorEastAsia" w:cstheme="minorEastAsia" w:hint="eastAsia"/>
                <w:b/>
                <w:bCs/>
                <w:sz w:val="28"/>
                <w:szCs w:val="28"/>
              </w:rPr>
              <w:t>垃圾分类改革专项工作经费</w:t>
            </w:r>
            <w:r w:rsidRPr="0050054D">
              <w:rPr>
                <w:rFonts w:asciiTheme="minorEastAsia" w:eastAsiaTheme="minorEastAsia" w:hAnsiTheme="minorEastAsia" w:cstheme="minorEastAsia" w:hint="eastAsia"/>
                <w:b/>
                <w:bCs/>
                <w:sz w:val="28"/>
                <w:szCs w:val="28"/>
              </w:rPr>
              <w:t>项目</w:t>
            </w:r>
          </w:p>
        </w:tc>
        <w:tc>
          <w:tcPr>
            <w:tcW w:w="240" w:type="dxa"/>
            <w:tcBorders>
              <w:top w:val="nil"/>
              <w:left w:val="nil"/>
              <w:bottom w:val="nil"/>
              <w:right w:val="nil"/>
            </w:tcBorders>
            <w:shd w:val="clear" w:color="auto" w:fill="auto"/>
            <w:vAlign w:val="center"/>
          </w:tcPr>
          <w:p w:rsidR="009A00CB" w:rsidRDefault="009A00CB" w:rsidP="00C94182">
            <w:pPr>
              <w:widowControl/>
              <w:jc w:val="center"/>
              <w:textAlignment w:val="center"/>
              <w:rPr>
                <w:rFonts w:ascii="宋体" w:hAnsi="宋体" w:cs="宋体"/>
                <w:b/>
                <w:kern w:val="0"/>
                <w:sz w:val="32"/>
                <w:szCs w:val="32"/>
              </w:rPr>
            </w:pPr>
          </w:p>
        </w:tc>
      </w:tr>
      <w:tr w:rsidR="009A00CB" w:rsidTr="00C94182">
        <w:trPr>
          <w:gridAfter w:val="1"/>
          <w:wAfter w:w="240" w:type="dxa"/>
          <w:trHeight w:val="254"/>
        </w:trPr>
        <w:tc>
          <w:tcPr>
            <w:tcW w:w="2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主管部门及代码</w:t>
            </w:r>
          </w:p>
        </w:tc>
        <w:tc>
          <w:tcPr>
            <w:tcW w:w="29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textAlignment w:val="center"/>
              <w:rPr>
                <w:rFonts w:ascii="宋体" w:hAnsi="宋体" w:cs="宋体"/>
                <w:sz w:val="24"/>
              </w:rPr>
            </w:pPr>
            <w:r>
              <w:rPr>
                <w:rFonts w:ascii="宋体" w:hAnsi="宋体" w:cs="宋体" w:hint="eastAsia"/>
                <w:sz w:val="24"/>
              </w:rPr>
              <w:t>德阳市城市管理行政执法局（314）</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实施单位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sidRPr="00323FB5">
              <w:rPr>
                <w:rFonts w:ascii="宋体" w:hAnsi="宋体" w:cs="宋体" w:hint="eastAsia"/>
                <w:sz w:val="24"/>
              </w:rPr>
              <w:t>德阳市城市管理行政执法支队</w:t>
            </w:r>
          </w:p>
        </w:tc>
      </w:tr>
      <w:tr w:rsidR="009A00CB" w:rsidTr="00C94182">
        <w:trPr>
          <w:gridAfter w:val="1"/>
          <w:wAfter w:w="240" w:type="dxa"/>
          <w:trHeight w:val="341"/>
        </w:trPr>
        <w:tc>
          <w:tcPr>
            <w:tcW w:w="247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项目预算</w:t>
            </w:r>
            <w:r>
              <w:rPr>
                <w:rFonts w:ascii="宋体" w:hAnsi="宋体" w:cs="宋体" w:hint="eastAsia"/>
                <w:kern w:val="0"/>
                <w:sz w:val="24"/>
              </w:rPr>
              <w:br/>
              <w:t>执行情况</w:t>
            </w:r>
            <w:r>
              <w:rPr>
                <w:rFonts w:ascii="宋体" w:hAnsi="宋体" w:cs="宋体" w:hint="eastAsia"/>
                <w:kern w:val="0"/>
                <w:sz w:val="24"/>
              </w:rPr>
              <w:br/>
              <w:t>（万元）</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 xml:space="preserve"> 预算数：</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9A00CB">
            <w:pPr>
              <w:widowControl/>
              <w:spacing w:line="320" w:lineRule="exact"/>
              <w:jc w:val="right"/>
              <w:textAlignment w:val="center"/>
              <w:rPr>
                <w:rFonts w:ascii="宋体" w:hAnsi="宋体" w:cs="宋体"/>
                <w:sz w:val="24"/>
              </w:rPr>
            </w:pPr>
            <w:r w:rsidRPr="00A7237B">
              <w:rPr>
                <w:rFonts w:ascii="宋体" w:hAnsi="宋体" w:cs="宋体" w:hint="eastAsia"/>
                <w:sz w:val="24"/>
              </w:rPr>
              <w:t xml:space="preserve">                   </w:t>
            </w:r>
            <w:r>
              <w:rPr>
                <w:rFonts w:ascii="宋体" w:hAnsi="宋体" w:cs="宋体" w:hint="eastAsia"/>
                <w:sz w:val="24"/>
              </w:rPr>
              <w:t>150</w:t>
            </w:r>
            <w:r w:rsidRPr="00A7237B">
              <w:rPr>
                <w:rFonts w:ascii="宋体" w:hAnsi="宋体" w:cs="宋体" w:hint="eastAsia"/>
                <w:sz w:val="24"/>
              </w:rPr>
              <w:t xml:space="preserve">.00 </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 xml:space="preserve"> 执行数：</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right"/>
              <w:textAlignment w:val="center"/>
              <w:rPr>
                <w:rFonts w:ascii="宋体" w:hAnsi="宋体" w:cs="宋体"/>
                <w:sz w:val="24"/>
              </w:rPr>
            </w:pPr>
            <w:r>
              <w:rPr>
                <w:rFonts w:ascii="宋体" w:hAnsi="宋体" w:cs="宋体" w:hint="eastAsia"/>
                <w:sz w:val="24"/>
              </w:rPr>
              <w:t>128.09</w:t>
            </w:r>
          </w:p>
        </w:tc>
      </w:tr>
      <w:tr w:rsidR="009A00CB" w:rsidTr="00C94182">
        <w:trPr>
          <w:gridAfter w:val="1"/>
          <w:wAfter w:w="240" w:type="dxa"/>
          <w:trHeight w:val="555"/>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right"/>
              <w:textAlignment w:val="center"/>
              <w:rPr>
                <w:rFonts w:ascii="宋体" w:hAnsi="宋体" w:cs="宋体"/>
                <w:sz w:val="24"/>
              </w:rPr>
            </w:pPr>
            <w:r>
              <w:rPr>
                <w:rFonts w:ascii="宋体" w:hAnsi="宋体" w:cs="宋体" w:hint="eastAsia"/>
                <w:sz w:val="24"/>
              </w:rPr>
              <w:t>150.00</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kern w:val="0"/>
                <w:sz w:val="24"/>
              </w:rPr>
            </w:pPr>
            <w:r>
              <w:rPr>
                <w:rFonts w:ascii="宋体" w:hAnsi="宋体" w:cs="宋体" w:hint="eastAsia"/>
                <w:kern w:val="0"/>
                <w:sz w:val="24"/>
              </w:rPr>
              <w:t>其中：</w:t>
            </w:r>
          </w:p>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财政拨款</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right"/>
              <w:textAlignment w:val="center"/>
              <w:rPr>
                <w:rFonts w:ascii="宋体" w:hAnsi="宋体" w:cs="宋体"/>
                <w:sz w:val="24"/>
              </w:rPr>
            </w:pPr>
            <w:r>
              <w:rPr>
                <w:rFonts w:ascii="宋体" w:hAnsi="宋体" w:cs="宋体" w:hint="eastAsia"/>
                <w:sz w:val="24"/>
              </w:rPr>
              <w:t>128.09</w:t>
            </w:r>
          </w:p>
        </w:tc>
      </w:tr>
      <w:tr w:rsidR="009A00CB" w:rsidTr="00C94182">
        <w:trPr>
          <w:gridAfter w:val="1"/>
          <w:wAfter w:w="240" w:type="dxa"/>
          <w:trHeight w:val="341"/>
        </w:trPr>
        <w:tc>
          <w:tcPr>
            <w:tcW w:w="247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宋体" w:hAnsi="宋体" w:cs="宋体"/>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left"/>
              <w:textAlignment w:val="center"/>
              <w:rPr>
                <w:rFonts w:ascii="宋体" w:hAnsi="宋体" w:cs="宋体"/>
                <w:sz w:val="24"/>
              </w:rPr>
            </w:pPr>
            <w:r>
              <w:rPr>
                <w:rFonts w:ascii="宋体" w:hAnsi="宋体" w:cs="宋体" w:hint="eastAsia"/>
                <w:kern w:val="0"/>
                <w:sz w:val="24"/>
              </w:rPr>
              <w:t>其他资金</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p>
        </w:tc>
      </w:tr>
      <w:tr w:rsidR="009A00CB" w:rsidTr="00C94182">
        <w:trPr>
          <w:gridAfter w:val="1"/>
          <w:wAfter w:w="240" w:type="dxa"/>
          <w:trHeight w:val="217"/>
        </w:trPr>
        <w:tc>
          <w:tcPr>
            <w:tcW w:w="11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kern w:val="0"/>
                <w:sz w:val="24"/>
              </w:rPr>
            </w:pPr>
            <w:r>
              <w:rPr>
                <w:rFonts w:ascii="宋体" w:hAnsi="宋体" w:cs="宋体" w:hint="eastAsia"/>
                <w:kern w:val="0"/>
                <w:sz w:val="24"/>
              </w:rPr>
              <w:t>年度总体目标</w:t>
            </w:r>
          </w:p>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完成情况</w:t>
            </w: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预期目标</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宋体" w:hAnsi="宋体" w:cs="宋体"/>
                <w:sz w:val="24"/>
              </w:rPr>
            </w:pPr>
            <w:r>
              <w:rPr>
                <w:rFonts w:ascii="宋体" w:hAnsi="宋体" w:cs="宋体" w:hint="eastAsia"/>
                <w:kern w:val="0"/>
                <w:sz w:val="24"/>
              </w:rPr>
              <w:t>目标实际完成情况</w:t>
            </w:r>
          </w:p>
        </w:tc>
      </w:tr>
      <w:tr w:rsidR="009A00CB" w:rsidTr="00C94182">
        <w:trPr>
          <w:gridAfter w:val="1"/>
          <w:wAfter w:w="240" w:type="dxa"/>
          <w:trHeight w:val="797"/>
        </w:trPr>
        <w:tc>
          <w:tcPr>
            <w:tcW w:w="11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宋体" w:hAnsi="宋体" w:cs="宋体"/>
                <w:sz w:val="24"/>
              </w:rPr>
            </w:pPr>
          </w:p>
        </w:tc>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tcPr>
          <w:p w:rsidR="009A00CB" w:rsidRPr="009A00CB" w:rsidRDefault="009A00CB" w:rsidP="00C94182">
            <w:pPr>
              <w:widowControl/>
              <w:spacing w:line="320" w:lineRule="exact"/>
              <w:jc w:val="left"/>
              <w:textAlignment w:val="top"/>
              <w:rPr>
                <w:rFonts w:ascii="宋体" w:hAnsi="宋体" w:cs="宋体"/>
                <w:sz w:val="18"/>
                <w:szCs w:val="18"/>
              </w:rPr>
            </w:pPr>
            <w:r w:rsidRPr="009A00CB">
              <w:rPr>
                <w:rFonts w:ascii="宋体" w:hAnsi="宋体" w:cs="宋体" w:hint="eastAsia"/>
                <w:sz w:val="18"/>
                <w:szCs w:val="18"/>
              </w:rPr>
              <w:t>通过业务培训、定期召开专题会议，进一步完善体制机制建设，确保生活垃圾分类工作正常运转；强化舆论宣传引导，加大宣传引导力度，用好各类载体，深入开展入户宣传等垃圾分类“七进”活动，并提供各项活动物资保障，切实提高公众垃圾分类意识，营造良好的社会氛围；继续做好德阳市生活垃圾分类系统报送工作，细化各环节数据信息收集，确保系统报送工作有效开展；德阳市生活垃圾分类工作激励机制工作落地落实，以“以奖代补”方式对先进县（市、区）、先进单位、优秀小区、优秀家庭、先进个人进行奖励表彰；对建成区居民小区实施生活垃圾桶边分类督导工作的人员进行补助，强化前端分类管理及引导提升分类投放准确率。</w:t>
            </w:r>
          </w:p>
        </w:tc>
        <w:tc>
          <w:tcPr>
            <w:tcW w:w="4128" w:type="dxa"/>
            <w:gridSpan w:val="2"/>
            <w:tcBorders>
              <w:top w:val="single" w:sz="4" w:space="0" w:color="000000"/>
              <w:left w:val="single" w:sz="4" w:space="0" w:color="000000"/>
              <w:bottom w:val="single" w:sz="4" w:space="0" w:color="000000"/>
              <w:right w:val="single" w:sz="4" w:space="0" w:color="000000"/>
            </w:tcBorders>
            <w:shd w:val="clear" w:color="auto" w:fill="auto"/>
          </w:tcPr>
          <w:p w:rsidR="009A00CB" w:rsidRDefault="009A00CB" w:rsidP="00C94182">
            <w:pPr>
              <w:widowControl/>
              <w:spacing w:line="320" w:lineRule="exact"/>
              <w:jc w:val="left"/>
              <w:textAlignment w:val="top"/>
              <w:rPr>
                <w:rFonts w:ascii="宋体" w:hAnsi="宋体" w:cs="宋体"/>
                <w:sz w:val="24"/>
              </w:rPr>
            </w:pPr>
            <w:r w:rsidRPr="009A00CB">
              <w:rPr>
                <w:rFonts w:ascii="宋体" w:hAnsi="宋体" w:cs="宋体" w:hint="eastAsia"/>
                <w:sz w:val="24"/>
              </w:rPr>
              <w:t>完成生活垃圾分类委托服务相关项目，及德阳市生活垃圾宣传相关项目</w:t>
            </w:r>
          </w:p>
        </w:tc>
      </w:tr>
      <w:tr w:rsidR="009A00CB" w:rsidTr="00C94182">
        <w:trPr>
          <w:gridAfter w:val="1"/>
          <w:wAfter w:w="240" w:type="dxa"/>
          <w:trHeight w:val="693"/>
        </w:trPr>
        <w:tc>
          <w:tcPr>
            <w:tcW w:w="1159" w:type="dxa"/>
            <w:vMerge w:val="restart"/>
            <w:tcBorders>
              <w:top w:val="single" w:sz="4" w:space="0" w:color="000000"/>
              <w:left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年度绩效指标完成情况</w:t>
            </w:r>
          </w:p>
        </w:tc>
        <w:tc>
          <w:tcPr>
            <w:tcW w:w="1320" w:type="dxa"/>
            <w:tcBorders>
              <w:top w:val="single" w:sz="4" w:space="0" w:color="000000"/>
              <w:left w:val="nil"/>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一级</w:t>
            </w:r>
          </w:p>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二级</w:t>
            </w:r>
          </w:p>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三级</w:t>
            </w:r>
          </w:p>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预期指标值</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center"/>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实际完成指标值</w:t>
            </w:r>
          </w:p>
        </w:tc>
      </w:tr>
      <w:tr w:rsidR="009A00C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完成</w:t>
            </w:r>
          </w:p>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数量指标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9A00CB">
            <w:pPr>
              <w:widowControl/>
              <w:spacing w:line="320" w:lineRule="exact"/>
              <w:jc w:val="center"/>
              <w:textAlignment w:val="bottom"/>
              <w:rPr>
                <w:rFonts w:ascii="宋体" w:cs="宋体"/>
                <w:color w:val="000000"/>
                <w:sz w:val="24"/>
              </w:rPr>
            </w:pPr>
            <w:r w:rsidRPr="009A00CB">
              <w:rPr>
                <w:rFonts w:ascii="宋体" w:cs="宋体" w:hint="eastAsia"/>
                <w:color w:val="000000"/>
                <w:sz w:val="24"/>
              </w:rPr>
              <w:t>工作经费、宣传经费、服务项目</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9A00CB">
            <w:pPr>
              <w:widowControl/>
              <w:spacing w:line="320" w:lineRule="exact"/>
              <w:jc w:val="center"/>
              <w:textAlignment w:val="bottom"/>
              <w:rPr>
                <w:rFonts w:ascii="宋体" w:cs="宋体"/>
                <w:color w:val="000000"/>
                <w:sz w:val="24"/>
              </w:rPr>
            </w:pPr>
            <w:r>
              <w:rPr>
                <w:rFonts w:ascii="宋体" w:cs="宋体" w:hint="eastAsia"/>
                <w:color w:val="000000"/>
                <w:sz w:val="24"/>
              </w:rPr>
              <w:t>11项</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Pr>
                <w:rFonts w:ascii="宋体" w:cs="宋体" w:hint="eastAsia"/>
                <w:color w:val="000000"/>
                <w:sz w:val="24"/>
              </w:rPr>
              <w:t>11项</w:t>
            </w:r>
          </w:p>
        </w:tc>
      </w:tr>
      <w:tr w:rsidR="009A00C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9A00CB" w:rsidRDefault="009A00C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质量指标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sidRPr="009A00CB">
              <w:rPr>
                <w:rFonts w:ascii="宋体" w:cs="宋体" w:hint="eastAsia"/>
                <w:color w:val="000000"/>
                <w:sz w:val="24"/>
              </w:rPr>
              <w:t>采购及服务项目符合合同要求</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sidRPr="009A00CB">
              <w:rPr>
                <w:rFonts w:ascii="宋体" w:cs="宋体" w:hint="eastAsia"/>
                <w:color w:val="000000"/>
                <w:sz w:val="24"/>
              </w:rPr>
              <w:t>合格</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sidRPr="009A00CB">
              <w:rPr>
                <w:rFonts w:ascii="宋体" w:cs="宋体" w:hint="eastAsia"/>
                <w:color w:val="000000"/>
                <w:sz w:val="24"/>
              </w:rPr>
              <w:t>合格</w:t>
            </w:r>
          </w:p>
        </w:tc>
      </w:tr>
      <w:tr w:rsidR="009A00CB" w:rsidTr="00C94182">
        <w:trPr>
          <w:gridAfter w:val="1"/>
          <w:wAfter w:w="240" w:type="dxa"/>
          <w:trHeight w:val="415"/>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9A00CB" w:rsidRDefault="009A00C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时效指标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Pr>
                <w:rFonts w:ascii="宋体" w:cs="宋体" w:hint="eastAsia"/>
                <w:color w:val="000000"/>
                <w:sz w:val="24"/>
              </w:rPr>
              <w:t>完成时间</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Pr>
                <w:rFonts w:ascii="宋体" w:cs="宋体" w:hint="eastAsia"/>
                <w:color w:val="000000"/>
                <w:sz w:val="24"/>
              </w:rPr>
              <w:t>2021年12月底前</w:t>
            </w:r>
          </w:p>
        </w:tc>
      </w:tr>
      <w:tr w:rsidR="009A00C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9A00CB" w:rsidRDefault="009A00C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成本指标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sidRPr="009A00CB">
              <w:rPr>
                <w:rFonts w:ascii="宋体" w:cs="宋体" w:hint="eastAsia"/>
                <w:color w:val="000000"/>
                <w:sz w:val="24"/>
              </w:rPr>
              <w:t>工作经费、宣传经费、服务项目、激励机制费用（以奖代补）、生活垃圾费用督导员补助资金</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sidRPr="009A00CB">
              <w:rPr>
                <w:rFonts w:ascii="宋体" w:cs="宋体" w:hint="eastAsia"/>
                <w:color w:val="000000"/>
                <w:sz w:val="24"/>
              </w:rPr>
              <w:t>150万元</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宋体" w:cs="宋体"/>
                <w:color w:val="000000"/>
                <w:sz w:val="24"/>
              </w:rPr>
            </w:pPr>
            <w:r>
              <w:rPr>
                <w:rFonts w:ascii="宋体" w:cs="宋体" w:hint="eastAsia"/>
                <w:color w:val="000000"/>
                <w:sz w:val="24"/>
              </w:rPr>
              <w:t>128.09万元</w:t>
            </w:r>
          </w:p>
        </w:tc>
      </w:tr>
      <w:tr w:rsidR="009A00C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效益</w:t>
            </w:r>
            <w:r>
              <w:rPr>
                <w:rFonts w:ascii="仿宋_GB2312" w:eastAsia="仿宋_GB2312" w:hAnsi="仿宋_GB2312" w:cs="仿宋_GB2312" w:hint="eastAsia"/>
                <w:kern w:val="0"/>
                <w:sz w:val="28"/>
                <w:szCs w:val="28"/>
              </w:rPr>
              <w:br/>
              <w:t>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社会效益  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A2296B" w:rsidP="00C94182">
            <w:pPr>
              <w:widowControl/>
              <w:spacing w:line="320" w:lineRule="exact"/>
              <w:jc w:val="center"/>
              <w:textAlignment w:val="bottom"/>
              <w:rPr>
                <w:rFonts w:ascii="宋体" w:cs="宋体"/>
                <w:color w:val="000000"/>
                <w:sz w:val="24"/>
              </w:rPr>
            </w:pPr>
            <w:r w:rsidRPr="00A2296B">
              <w:rPr>
                <w:rFonts w:ascii="宋体" w:cs="宋体" w:hint="eastAsia"/>
                <w:color w:val="000000"/>
                <w:sz w:val="24"/>
              </w:rPr>
              <w:t>生活垃圾分类知晓率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A2296B" w:rsidP="00A2296B">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95</w:t>
            </w:r>
            <w:r w:rsidRPr="00247F05">
              <w:rPr>
                <w:rFonts w:ascii="宋体" w:cs="宋体" w:hint="eastAsia"/>
                <w:color w:val="000000"/>
                <w:sz w:val="24"/>
              </w:rPr>
              <w:t>%</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A2296B" w:rsidP="00C94182">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95</w:t>
            </w:r>
            <w:r w:rsidRPr="00247F05">
              <w:rPr>
                <w:rFonts w:ascii="宋体" w:cs="宋体" w:hint="eastAsia"/>
                <w:color w:val="000000"/>
                <w:sz w:val="24"/>
              </w:rPr>
              <w:t>%</w:t>
            </w:r>
          </w:p>
        </w:tc>
      </w:tr>
      <w:tr w:rsidR="009A00CB" w:rsidTr="00C94182">
        <w:trPr>
          <w:gridAfter w:val="1"/>
          <w:wAfter w:w="240" w:type="dxa"/>
          <w:trHeight w:val="480"/>
        </w:trPr>
        <w:tc>
          <w:tcPr>
            <w:tcW w:w="1159" w:type="dxa"/>
            <w:vMerge/>
            <w:tcBorders>
              <w:left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9A00CB" w:rsidRDefault="009A00CB" w:rsidP="00C94182">
            <w:pPr>
              <w:spacing w:line="320" w:lineRule="exact"/>
              <w:jc w:val="center"/>
              <w:rPr>
                <w:rFonts w:ascii="仿宋_GB2312" w:eastAsia="仿宋_GB2312" w:hAnsi="仿宋_GB2312" w:cs="仿宋_GB2312"/>
                <w:sz w:val="28"/>
                <w:szCs w:val="28"/>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可持续影响指标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23FDA" w:rsidP="00C94182">
            <w:pPr>
              <w:widowControl/>
              <w:spacing w:line="320" w:lineRule="exact"/>
              <w:jc w:val="center"/>
              <w:textAlignment w:val="bottom"/>
              <w:rPr>
                <w:rFonts w:ascii="宋体" w:cs="宋体"/>
                <w:color w:val="000000"/>
                <w:sz w:val="24"/>
              </w:rPr>
            </w:pPr>
            <w:r>
              <w:rPr>
                <w:rFonts w:ascii="宋体" w:cs="宋体" w:hint="eastAsia"/>
                <w:color w:val="000000"/>
                <w:sz w:val="24"/>
              </w:rPr>
              <w:t>生活垃圾分类回收利用率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23FDA" w:rsidP="00923FDA">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35</w:t>
            </w:r>
            <w:r w:rsidRPr="00247F05">
              <w:rPr>
                <w:rFonts w:ascii="宋体" w:cs="宋体" w:hint="eastAsia"/>
                <w:color w:val="000000"/>
                <w:sz w:val="24"/>
              </w:rPr>
              <w:t>%</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23FDA" w:rsidP="00C94182">
            <w:pPr>
              <w:widowControl/>
              <w:spacing w:line="320" w:lineRule="exact"/>
              <w:jc w:val="center"/>
              <w:textAlignment w:val="bottom"/>
              <w:rPr>
                <w:rFonts w:ascii="宋体" w:cs="宋体"/>
                <w:color w:val="000000"/>
                <w:sz w:val="24"/>
              </w:rPr>
            </w:pPr>
            <w:r w:rsidRPr="00247F05">
              <w:rPr>
                <w:rFonts w:ascii="宋体" w:cs="宋体" w:hint="eastAsia"/>
                <w:color w:val="000000"/>
                <w:sz w:val="24"/>
              </w:rPr>
              <w:t>≥</w:t>
            </w:r>
            <w:r>
              <w:rPr>
                <w:rFonts w:ascii="宋体" w:cs="宋体" w:hint="eastAsia"/>
                <w:color w:val="000000"/>
                <w:sz w:val="24"/>
              </w:rPr>
              <w:t>35</w:t>
            </w:r>
            <w:r w:rsidRPr="00247F05">
              <w:rPr>
                <w:rFonts w:ascii="宋体" w:cs="宋体" w:hint="eastAsia"/>
                <w:color w:val="000000"/>
                <w:sz w:val="24"/>
              </w:rPr>
              <w:t>%</w:t>
            </w:r>
          </w:p>
        </w:tc>
      </w:tr>
      <w:tr w:rsidR="009A00CB" w:rsidTr="00C94182">
        <w:trPr>
          <w:gridAfter w:val="1"/>
          <w:wAfter w:w="240" w:type="dxa"/>
          <w:trHeight w:val="530"/>
        </w:trPr>
        <w:tc>
          <w:tcPr>
            <w:tcW w:w="1159" w:type="dxa"/>
            <w:vMerge/>
            <w:tcBorders>
              <w:left w:val="single" w:sz="4" w:space="0" w:color="000000"/>
              <w:bottom w:val="single" w:sz="4" w:space="0" w:color="000000"/>
              <w:right w:val="single" w:sz="4" w:space="0" w:color="000000"/>
            </w:tcBorders>
            <w:shd w:val="clear" w:color="auto" w:fill="auto"/>
            <w:vAlign w:val="center"/>
          </w:tcPr>
          <w:p w:rsidR="009A00CB" w:rsidRDefault="009A00CB" w:rsidP="00C94182">
            <w:pPr>
              <w:spacing w:line="320" w:lineRule="exact"/>
              <w:jc w:val="center"/>
              <w:rPr>
                <w:rFonts w:ascii="仿宋_GB2312" w:eastAsia="仿宋_GB2312" w:hAnsi="仿宋_GB2312" w:cs="仿宋_GB2312"/>
                <w:sz w:val="28"/>
                <w:szCs w:val="28"/>
              </w:rPr>
            </w:pPr>
          </w:p>
        </w:tc>
        <w:tc>
          <w:tcPr>
            <w:tcW w:w="13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A00CB" w:rsidRDefault="009A00CB" w:rsidP="00C94182">
            <w:pPr>
              <w:widowControl/>
              <w:spacing w:line="320" w:lineRule="exact"/>
              <w:jc w:val="center"/>
              <w:textAlignment w:val="bottom"/>
              <w:rPr>
                <w:rFonts w:ascii="仿宋_GB2312" w:eastAsia="仿宋_GB2312" w:hAnsi="仿宋_GB2312" w:cs="仿宋_GB2312"/>
                <w:sz w:val="28"/>
                <w:szCs w:val="28"/>
              </w:rPr>
            </w:pPr>
            <w:proofErr w:type="gramStart"/>
            <w:r>
              <w:rPr>
                <w:rFonts w:ascii="仿宋_GB2312" w:eastAsia="仿宋_GB2312" w:hAnsi="仿宋_GB2312" w:cs="仿宋_GB2312" w:hint="eastAsia"/>
                <w:kern w:val="0"/>
                <w:sz w:val="28"/>
                <w:szCs w:val="28"/>
              </w:rPr>
              <w:t>满意</w:t>
            </w:r>
            <w:proofErr w:type="gramEnd"/>
            <w:r>
              <w:rPr>
                <w:rFonts w:ascii="仿宋_GB2312" w:eastAsia="仿宋_GB2312" w:hAnsi="仿宋_GB2312" w:cs="仿宋_GB2312" w:hint="eastAsia"/>
                <w:kern w:val="0"/>
                <w:sz w:val="28"/>
                <w:szCs w:val="28"/>
              </w:rPr>
              <w:br/>
              <w:t>度指标</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C94182">
            <w:pPr>
              <w:widowControl/>
              <w:spacing w:line="320" w:lineRule="exact"/>
              <w:jc w:val="center"/>
              <w:textAlignment w:val="bottom"/>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满意度</w:t>
            </w:r>
          </w:p>
          <w:p w:rsidR="009A00CB" w:rsidRDefault="009A00CB" w:rsidP="00C94182">
            <w:pPr>
              <w:widowControl/>
              <w:spacing w:line="320" w:lineRule="exact"/>
              <w:jc w:val="center"/>
              <w:textAlignment w:val="bottom"/>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指标</w:t>
            </w:r>
          </w:p>
        </w:tc>
        <w:tc>
          <w:tcPr>
            <w:tcW w:w="15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23FDA" w:rsidP="00C94182">
            <w:pPr>
              <w:widowControl/>
              <w:spacing w:line="320" w:lineRule="exact"/>
              <w:jc w:val="center"/>
              <w:textAlignment w:val="bottom"/>
              <w:rPr>
                <w:rFonts w:ascii="仿宋_GB2312" w:eastAsia="仿宋_GB2312" w:hAnsi="仿宋_GB2312" w:cs="仿宋_GB2312"/>
                <w:sz w:val="28"/>
                <w:szCs w:val="28"/>
              </w:rPr>
            </w:pPr>
            <w:r w:rsidRPr="00923FDA">
              <w:rPr>
                <w:rFonts w:ascii="宋体" w:cs="宋体" w:hint="eastAsia"/>
                <w:color w:val="000000"/>
                <w:sz w:val="24"/>
              </w:rPr>
              <w:t>主管部门满意度</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923FDA">
            <w:pPr>
              <w:widowControl/>
              <w:spacing w:line="320" w:lineRule="exact"/>
              <w:jc w:val="center"/>
              <w:textAlignment w:val="bottom"/>
              <w:rPr>
                <w:rFonts w:ascii="仿宋_GB2312" w:eastAsia="仿宋_GB2312" w:hAnsi="仿宋_GB2312" w:cs="仿宋_GB2312"/>
                <w:sz w:val="28"/>
                <w:szCs w:val="28"/>
              </w:rPr>
            </w:pPr>
            <w:r w:rsidRPr="00247F05">
              <w:rPr>
                <w:rFonts w:ascii="宋体" w:cs="宋体" w:hint="eastAsia"/>
                <w:color w:val="000000"/>
                <w:sz w:val="24"/>
              </w:rPr>
              <w:t>≥</w:t>
            </w:r>
            <w:r w:rsidR="00923FDA">
              <w:rPr>
                <w:rFonts w:ascii="宋体" w:cs="宋体" w:hint="eastAsia"/>
                <w:color w:val="000000"/>
                <w:sz w:val="24"/>
              </w:rPr>
              <w:t>9</w:t>
            </w:r>
            <w:r>
              <w:rPr>
                <w:rFonts w:ascii="宋体" w:cs="宋体" w:hint="eastAsia"/>
                <w:color w:val="000000"/>
                <w:sz w:val="24"/>
              </w:rPr>
              <w:t>0</w:t>
            </w:r>
            <w:r w:rsidRPr="00247F05">
              <w:rPr>
                <w:rFonts w:ascii="宋体" w:cs="宋体" w:hint="eastAsia"/>
                <w:color w:val="000000"/>
                <w:sz w:val="24"/>
              </w:rPr>
              <w:t>%</w:t>
            </w:r>
          </w:p>
        </w:tc>
        <w:tc>
          <w:tcPr>
            <w:tcW w:w="21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0CB" w:rsidRDefault="009A00CB" w:rsidP="00923FDA">
            <w:pPr>
              <w:widowControl/>
              <w:spacing w:line="320" w:lineRule="exact"/>
              <w:jc w:val="center"/>
              <w:textAlignment w:val="bottom"/>
              <w:rPr>
                <w:rFonts w:ascii="仿宋_GB2312" w:eastAsia="仿宋_GB2312" w:hAnsi="仿宋_GB2312" w:cs="仿宋_GB2312"/>
                <w:sz w:val="28"/>
                <w:szCs w:val="28"/>
              </w:rPr>
            </w:pPr>
            <w:r w:rsidRPr="00247F05">
              <w:rPr>
                <w:rFonts w:ascii="宋体" w:cs="宋体" w:hint="eastAsia"/>
                <w:color w:val="000000"/>
                <w:sz w:val="24"/>
              </w:rPr>
              <w:t>≥</w:t>
            </w:r>
            <w:r w:rsidR="00923FDA">
              <w:rPr>
                <w:rFonts w:ascii="宋体" w:cs="宋体" w:hint="eastAsia"/>
                <w:color w:val="000000"/>
                <w:sz w:val="24"/>
              </w:rPr>
              <w:t>9</w:t>
            </w:r>
            <w:r>
              <w:rPr>
                <w:rFonts w:ascii="宋体" w:cs="宋体" w:hint="eastAsia"/>
                <w:color w:val="000000"/>
                <w:sz w:val="24"/>
              </w:rPr>
              <w:t>0</w:t>
            </w:r>
            <w:r w:rsidRPr="00247F05">
              <w:rPr>
                <w:rFonts w:ascii="宋体" w:cs="宋体" w:hint="eastAsia"/>
                <w:color w:val="000000"/>
                <w:sz w:val="24"/>
              </w:rPr>
              <w:t>%</w:t>
            </w:r>
          </w:p>
        </w:tc>
      </w:tr>
    </w:tbl>
    <w:p w:rsidR="00794FFB" w:rsidRPr="00964D02" w:rsidRDefault="00794FFB" w:rsidP="000B0BF1">
      <w:pPr>
        <w:pStyle w:val="2"/>
        <w:ind w:leftChars="0" w:firstLine="0"/>
        <w:rPr>
          <w:rFonts w:hAnsi="仿宋_GB2312"/>
        </w:rPr>
      </w:pPr>
    </w:p>
    <w:bookmarkEnd w:id="13"/>
    <w:tbl>
      <w:tblPr>
        <w:tblW w:w="5989"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08"/>
      </w:tblGrid>
      <w:tr w:rsidR="00A7724B" w:rsidRPr="00A7724B" w:rsidTr="00DC0F3B">
        <w:trPr>
          <w:trHeight w:val="142"/>
        </w:trPr>
        <w:tc>
          <w:tcPr>
            <w:tcW w:w="5000" w:type="pct"/>
            <w:tcBorders>
              <w:top w:val="nil"/>
              <w:left w:val="nil"/>
              <w:bottom w:val="nil"/>
              <w:right w:val="nil"/>
            </w:tcBorders>
            <w:shd w:val="clear" w:color="auto" w:fill="auto"/>
            <w:vAlign w:val="center"/>
            <w:hideMark/>
          </w:tcPr>
          <w:p w:rsidR="00A7724B" w:rsidRPr="00A7724B" w:rsidRDefault="00A7724B" w:rsidP="00F51ACD">
            <w:pPr>
              <w:widowControl/>
              <w:rPr>
                <w:rFonts w:ascii="宋体" w:hAnsi="宋体" w:cs="宋体"/>
                <w:b/>
                <w:bCs/>
                <w:kern w:val="0"/>
                <w:sz w:val="32"/>
                <w:szCs w:val="32"/>
              </w:rPr>
            </w:pPr>
          </w:p>
        </w:tc>
      </w:tr>
    </w:tbl>
    <w:p w:rsidR="007B0230" w:rsidRDefault="007B0230" w:rsidP="007B0230">
      <w:pPr>
        <w:numPr>
          <w:ilvl w:val="0"/>
          <w:numId w:val="6"/>
        </w:numPr>
        <w:spacing w:line="600" w:lineRule="exact"/>
        <w:ind w:firstLineChars="150" w:firstLine="663"/>
        <w:jc w:val="center"/>
        <w:outlineLvl w:val="0"/>
        <w:rPr>
          <w:rStyle w:val="1Char"/>
          <w:rFonts w:ascii="黑体" w:eastAsia="黑体" w:hAnsi="黑体"/>
          <w:b w:val="0"/>
          <w:bCs w:val="0"/>
        </w:rPr>
      </w:pPr>
      <w:bookmarkStart w:id="46" w:name="OLE_LINK6"/>
      <w:r>
        <w:rPr>
          <w:rFonts w:ascii="黑体" w:eastAsia="黑体" w:hAnsi="黑体" w:cs="黑体" w:hint="eastAsia"/>
          <w:b/>
          <w:bCs/>
          <w:color w:val="000000"/>
          <w:sz w:val="44"/>
          <w:szCs w:val="44"/>
        </w:rPr>
        <w:t>名</w:t>
      </w:r>
      <w:r>
        <w:rPr>
          <w:rStyle w:val="1Char"/>
          <w:rFonts w:ascii="黑体" w:eastAsia="黑体" w:hAnsi="黑体" w:cs="黑体" w:hint="eastAsia"/>
        </w:rPr>
        <w:t>词解释</w:t>
      </w:r>
    </w:p>
    <w:p w:rsidR="007B0230" w:rsidRDefault="007B0230" w:rsidP="007B0230">
      <w:pPr>
        <w:spacing w:line="600" w:lineRule="exact"/>
        <w:jc w:val="left"/>
        <w:rPr>
          <w:rFonts w:ascii="宋体"/>
          <w:b/>
          <w:bCs/>
          <w:color w:val="000000"/>
          <w:sz w:val="44"/>
          <w:szCs w:val="44"/>
        </w:rPr>
      </w:pP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1.</w:t>
      </w:r>
      <w:r>
        <w:rPr>
          <w:rFonts w:ascii="仿宋_GB2312" w:eastAsia="仿宋_GB2312" w:cs="仿宋_GB2312" w:hint="eastAsia"/>
          <w:sz w:val="32"/>
          <w:szCs w:val="32"/>
        </w:rPr>
        <w:t>财政拨款收入：指单位从同级财政部门取得的财政预算资金。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2.</w:t>
      </w:r>
      <w:r>
        <w:rPr>
          <w:rFonts w:ascii="仿宋_GB2312" w:eastAsia="仿宋_GB2312" w:cs="仿宋_GB2312" w:hint="eastAsia"/>
          <w:sz w:val="32"/>
          <w:szCs w:val="32"/>
        </w:rPr>
        <w:t>事业收入：指事业单位开展专业业务活动及辅助活动取得的收入。</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w:t>
      </w:r>
      <w:r>
        <w:rPr>
          <w:rFonts w:ascii="仿宋_GB2312" w:eastAsia="仿宋_GB2312" w:cs="仿宋_GB2312" w:hint="eastAsia"/>
          <w:sz w:val="32"/>
          <w:szCs w:val="32"/>
        </w:rPr>
        <w:t>经营收入：指事业单位在专业业务活动及其辅助活动之外开展非独立核算经营活动取得的收入。</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4.</w:t>
      </w:r>
      <w:r>
        <w:rPr>
          <w:rFonts w:ascii="仿宋_GB2312" w:eastAsia="仿宋_GB2312" w:cs="仿宋_GB2312" w:hint="eastAsia"/>
          <w:sz w:val="32"/>
          <w:szCs w:val="32"/>
        </w:rPr>
        <w:t>其他收入：指单位取得的除上述收入以外的各项收入。主要是利息收入等。</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5.</w:t>
      </w:r>
      <w:r>
        <w:rPr>
          <w:rFonts w:ascii="仿宋_GB2312" w:eastAsia="仿宋_GB2312" w:cs="仿宋_GB2312" w:hint="eastAsia"/>
          <w:sz w:val="32"/>
          <w:szCs w:val="32"/>
        </w:rPr>
        <w:t>用事业基金弥补收支差额：指事业单位在当年的财政拨款收入、事业收入、经营收入、其他收入不足以安排当年</w:t>
      </w:r>
      <w:r>
        <w:rPr>
          <w:rFonts w:ascii="仿宋_GB2312" w:eastAsia="仿宋_GB2312" w:cs="仿宋_GB2312" w:hint="eastAsia"/>
          <w:sz w:val="32"/>
          <w:szCs w:val="32"/>
        </w:rPr>
        <w:lastRenderedPageBreak/>
        <w:t>支出的情况下，使用以前年度积累的事业基金（事业单位当年收支相抵后按国家规定提取、用于弥补以后年度收支差额的基金）弥补本年度收支缺口的资金。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6.</w:t>
      </w:r>
      <w:r>
        <w:rPr>
          <w:rFonts w:ascii="仿宋_GB2312" w:eastAsia="仿宋_GB2312" w:cs="仿宋_GB2312" w:hint="eastAsia"/>
          <w:sz w:val="32"/>
          <w:szCs w:val="32"/>
        </w:rPr>
        <w:t>年初结转和结余：指以前年度尚未完成、结转到本年按有关规定继续使用的资金。</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7.</w:t>
      </w:r>
      <w:r>
        <w:rPr>
          <w:rFonts w:ascii="仿宋_GB2312" w:eastAsia="仿宋_GB2312" w:cs="仿宋_GB2312" w:hint="eastAsia"/>
          <w:sz w:val="32"/>
          <w:szCs w:val="32"/>
        </w:rPr>
        <w:t>结余分配：指事业单位按照事业单位会计制度的规定从非财政补助结余中分配的事业基金和职工福利基金等。</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8</w:t>
      </w:r>
      <w:r>
        <w:rPr>
          <w:rFonts w:ascii="仿宋_GB2312" w:eastAsia="仿宋_GB2312" w:cs="仿宋_GB2312" w:hint="eastAsia"/>
          <w:sz w:val="32"/>
          <w:szCs w:val="32"/>
        </w:rPr>
        <w:t>、年末结转和结余：指单位按有关规定结转到下年或以后年度继续使用的资金。</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9.</w:t>
      </w:r>
      <w:r>
        <w:rPr>
          <w:rFonts w:ascii="仿宋_GB2312" w:eastAsia="仿宋_GB2312" w:cs="仿宋_GB2312" w:hint="eastAsia"/>
          <w:color w:val="000000"/>
          <w:sz w:val="32"/>
          <w:szCs w:val="32"/>
        </w:rPr>
        <w:t>一般公共服务类，其他一般公共服务支出指其他的一般公共服务支出。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10.</w:t>
      </w:r>
      <w:r>
        <w:rPr>
          <w:rFonts w:ascii="仿宋_GB2312" w:eastAsia="仿宋_GB2312" w:cs="仿宋_GB2312" w:hint="eastAsia"/>
          <w:color w:val="000000"/>
          <w:sz w:val="32"/>
          <w:szCs w:val="32"/>
        </w:rPr>
        <w:t>社会保障和就业类，事业单位离退休指实行归口管理的事业单位开支的离退休经费。</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11.</w:t>
      </w:r>
      <w:r>
        <w:rPr>
          <w:rFonts w:ascii="仿宋_GB2312" w:eastAsia="仿宋_GB2312" w:cs="仿宋_GB2312" w:hint="eastAsia"/>
          <w:color w:val="000000"/>
          <w:sz w:val="32"/>
          <w:szCs w:val="32"/>
        </w:rPr>
        <w:t>社会保障和就业类，未归口管理的行政单位离退休指未实行归口管理的行政单位开支的离退休经费。</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12.</w:t>
      </w:r>
      <w:r>
        <w:rPr>
          <w:rFonts w:ascii="仿宋_GB2312" w:eastAsia="仿宋_GB2312" w:cs="仿宋_GB2312" w:hint="eastAsia"/>
          <w:color w:val="000000"/>
          <w:sz w:val="32"/>
          <w:szCs w:val="32"/>
        </w:rPr>
        <w:t>社会保障和就业类，机关事业单位基本养老保险缴费支出指机关事业单位实施养老保险制度由单位缴纳的基本养老保险费支出。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13.</w:t>
      </w:r>
      <w:r>
        <w:rPr>
          <w:rFonts w:ascii="仿宋_GB2312" w:eastAsia="仿宋_GB2312" w:cs="仿宋_GB2312" w:hint="eastAsia"/>
          <w:color w:val="000000"/>
          <w:sz w:val="32"/>
          <w:szCs w:val="32"/>
        </w:rPr>
        <w:t>社会保障和就业类，机关事业单位职业年金缴费支出指机关事业单位实施养老保险制度由单位缴纳的职业年金支出。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14.</w:t>
      </w:r>
      <w:r>
        <w:rPr>
          <w:rFonts w:ascii="仿宋_GB2312" w:eastAsia="仿宋_GB2312" w:cs="仿宋_GB2312" w:hint="eastAsia"/>
          <w:color w:val="000000"/>
          <w:sz w:val="32"/>
          <w:szCs w:val="32"/>
        </w:rPr>
        <w:t>社会保障和就业类，其他社会保障和就业支出指明</w:t>
      </w:r>
      <w:r>
        <w:rPr>
          <w:rFonts w:ascii="仿宋_GB2312" w:eastAsia="仿宋_GB2312" w:cs="仿宋_GB2312" w:hint="eastAsia"/>
          <w:color w:val="000000"/>
          <w:sz w:val="32"/>
          <w:szCs w:val="32"/>
        </w:rPr>
        <w:lastRenderedPageBreak/>
        <w:t>确项目以外的其他用于社会保障和就业方面的支出。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15.</w:t>
      </w:r>
      <w:r>
        <w:rPr>
          <w:rFonts w:ascii="仿宋_GB2312" w:eastAsia="仿宋_GB2312" w:cs="仿宋_GB2312" w:hint="eastAsia"/>
          <w:color w:val="000000"/>
          <w:sz w:val="32"/>
          <w:szCs w:val="32"/>
        </w:rPr>
        <w:t>社会保障和就业类，其他医疗卫生与计划生育支出指明确项目以外的其他用于卫生健康方面的支出。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16.</w:t>
      </w:r>
      <w:r>
        <w:rPr>
          <w:rFonts w:ascii="仿宋_GB2312" w:eastAsia="仿宋_GB2312" w:cs="仿宋_GB2312" w:hint="eastAsia"/>
          <w:color w:val="000000"/>
          <w:sz w:val="32"/>
          <w:szCs w:val="32"/>
        </w:rPr>
        <w:t>节能环保支出类，能源节约利用指能源节约利用方面的支出。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17.</w:t>
      </w:r>
      <w:r>
        <w:rPr>
          <w:rFonts w:ascii="仿宋_GB2312" w:eastAsia="仿宋_GB2312" w:cs="仿宋_GB2312" w:hint="eastAsia"/>
          <w:color w:val="000000"/>
          <w:sz w:val="32"/>
          <w:szCs w:val="32"/>
        </w:rPr>
        <w:t>节能环保支出类，其他节能环保支出指明确项目以外的其他用于节能环保方面的支出。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18.</w:t>
      </w:r>
      <w:r>
        <w:rPr>
          <w:rFonts w:ascii="仿宋_GB2312" w:eastAsia="仿宋_GB2312" w:cs="仿宋_GB2312" w:hint="eastAsia"/>
          <w:color w:val="000000"/>
          <w:sz w:val="32"/>
          <w:szCs w:val="32"/>
        </w:rPr>
        <w:t>城乡社区支出类，行政</w:t>
      </w:r>
      <w:proofErr w:type="gramStart"/>
      <w:r>
        <w:rPr>
          <w:rFonts w:ascii="仿宋_GB2312" w:eastAsia="仿宋_GB2312" w:cs="仿宋_GB2312" w:hint="eastAsia"/>
          <w:color w:val="000000"/>
          <w:sz w:val="32"/>
          <w:szCs w:val="32"/>
        </w:rPr>
        <w:t>运行指</w:t>
      </w:r>
      <w:proofErr w:type="gramEnd"/>
      <w:r>
        <w:rPr>
          <w:rFonts w:ascii="仿宋_GB2312" w:eastAsia="仿宋_GB2312" w:cs="仿宋_GB2312" w:hint="eastAsia"/>
          <w:color w:val="000000"/>
          <w:sz w:val="32"/>
          <w:szCs w:val="32"/>
        </w:rPr>
        <w:t>行政单位（包括实行公务员管理的事业单位）的基本支出。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19.</w:t>
      </w:r>
      <w:r>
        <w:rPr>
          <w:rFonts w:ascii="仿宋_GB2312" w:eastAsia="仿宋_GB2312" w:cs="仿宋_GB2312" w:hint="eastAsia"/>
          <w:color w:val="000000"/>
          <w:sz w:val="32"/>
          <w:szCs w:val="32"/>
        </w:rPr>
        <w:t>城乡社区支出类，城管</w:t>
      </w:r>
      <w:proofErr w:type="gramStart"/>
      <w:r>
        <w:rPr>
          <w:rFonts w:ascii="仿宋_GB2312" w:eastAsia="仿宋_GB2312" w:cs="仿宋_GB2312" w:hint="eastAsia"/>
          <w:color w:val="000000"/>
          <w:sz w:val="32"/>
          <w:szCs w:val="32"/>
        </w:rPr>
        <w:t>执法指</w:t>
      </w:r>
      <w:proofErr w:type="gramEnd"/>
      <w:r>
        <w:rPr>
          <w:rFonts w:ascii="仿宋_GB2312" w:eastAsia="仿宋_GB2312" w:cs="仿宋_GB2312" w:hint="eastAsia"/>
          <w:color w:val="000000"/>
          <w:sz w:val="32"/>
          <w:szCs w:val="32"/>
        </w:rPr>
        <w:t>城市管理综合行政执法、加强城市市容和环境卫生管理等方面的支出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20.</w:t>
      </w:r>
      <w:r>
        <w:rPr>
          <w:rFonts w:ascii="仿宋_GB2312" w:eastAsia="仿宋_GB2312" w:cs="仿宋_GB2312" w:hint="eastAsia"/>
          <w:color w:val="000000"/>
          <w:sz w:val="32"/>
          <w:szCs w:val="32"/>
        </w:rPr>
        <w:t>城乡社区支出类，其他城乡社区管理事务支出指明确项目以外的其他用于城乡社区管理事务方面的支出。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21.</w:t>
      </w:r>
      <w:r>
        <w:rPr>
          <w:rFonts w:ascii="仿宋_GB2312" w:eastAsia="仿宋_GB2312" w:cs="仿宋_GB2312" w:hint="eastAsia"/>
          <w:color w:val="000000"/>
          <w:sz w:val="32"/>
          <w:szCs w:val="32"/>
        </w:rPr>
        <w:t>城乡社区支出类，其他城乡社区公共设施支出指明确项目以外的其他用于城乡社区公共设施方面的支出。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22.</w:t>
      </w:r>
      <w:r>
        <w:rPr>
          <w:rFonts w:ascii="仿宋_GB2312" w:eastAsia="仿宋_GB2312" w:cs="仿宋_GB2312" w:hint="eastAsia"/>
          <w:color w:val="000000"/>
          <w:sz w:val="32"/>
          <w:szCs w:val="32"/>
        </w:rPr>
        <w:t>城乡社区支出类，城乡社区环境卫生指城乡社区道路清扫、垃圾清运与处理、公厕建设与维护、园林绿化等方面的支出。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23.</w:t>
      </w:r>
      <w:r>
        <w:rPr>
          <w:rFonts w:ascii="仿宋_GB2312" w:eastAsia="仿宋_GB2312" w:cs="仿宋_GB2312" w:hint="eastAsia"/>
          <w:color w:val="000000"/>
          <w:sz w:val="32"/>
          <w:szCs w:val="32"/>
        </w:rPr>
        <w:t>城乡社区支出类，城市建设支出指土地出让收入用于完善国有土地使用功能的配套设施建设和城市基础设施建设支出。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24.</w:t>
      </w:r>
      <w:r>
        <w:rPr>
          <w:rFonts w:ascii="仿宋_GB2312" w:eastAsia="仿宋_GB2312" w:cs="仿宋_GB2312" w:hint="eastAsia"/>
          <w:color w:val="000000"/>
          <w:sz w:val="32"/>
          <w:szCs w:val="32"/>
        </w:rPr>
        <w:t>城乡社区支出类，城市环境卫生指城市基础设施配</w:t>
      </w:r>
      <w:r>
        <w:rPr>
          <w:rFonts w:ascii="仿宋_GB2312" w:eastAsia="仿宋_GB2312" w:cs="仿宋_GB2312" w:hint="eastAsia"/>
          <w:color w:val="000000"/>
          <w:sz w:val="32"/>
          <w:szCs w:val="32"/>
        </w:rPr>
        <w:lastRenderedPageBreak/>
        <w:t>套</w:t>
      </w:r>
      <w:proofErr w:type="gramStart"/>
      <w:r>
        <w:rPr>
          <w:rFonts w:ascii="仿宋_GB2312" w:eastAsia="仿宋_GB2312" w:cs="仿宋_GB2312" w:hint="eastAsia"/>
          <w:color w:val="000000"/>
          <w:sz w:val="32"/>
          <w:szCs w:val="32"/>
        </w:rPr>
        <w:t>费安排</w:t>
      </w:r>
      <w:proofErr w:type="gramEnd"/>
      <w:r>
        <w:rPr>
          <w:rFonts w:ascii="仿宋_GB2312" w:eastAsia="仿宋_GB2312" w:cs="仿宋_GB2312" w:hint="eastAsia"/>
          <w:color w:val="000000"/>
          <w:sz w:val="32"/>
          <w:szCs w:val="32"/>
        </w:rPr>
        <w:t>用于道路清扫、垃圾清运与处理、污水处理、园林绿化等方面的支出。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25.</w:t>
      </w:r>
      <w:r>
        <w:rPr>
          <w:rFonts w:ascii="仿宋_GB2312" w:eastAsia="仿宋_GB2312" w:cs="仿宋_GB2312" w:hint="eastAsia"/>
          <w:color w:val="000000"/>
          <w:sz w:val="32"/>
          <w:szCs w:val="32"/>
        </w:rPr>
        <w:t>城乡社区支出类，其他城乡社区支出指明确项目以外的其他用于城乡社区方面的支出。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26.</w:t>
      </w:r>
      <w:r>
        <w:rPr>
          <w:rFonts w:ascii="仿宋_GB2312" w:eastAsia="仿宋_GB2312" w:cs="仿宋_GB2312" w:hint="eastAsia"/>
          <w:color w:val="000000"/>
          <w:sz w:val="32"/>
          <w:szCs w:val="32"/>
        </w:rPr>
        <w:t>住房保障支出类，住房公积金指行政事业单位按人力资源和社会保障部、财政部规定的基本工资和津贴补贴以及规定比例为职工缴纳的住房公积金。</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27.</w:t>
      </w:r>
      <w:r>
        <w:rPr>
          <w:rFonts w:ascii="仿宋_GB2312" w:eastAsia="仿宋_GB2312" w:cs="仿宋_GB2312" w:hint="eastAsia"/>
          <w:color w:val="000000"/>
          <w:sz w:val="32"/>
          <w:szCs w:val="32"/>
        </w:rPr>
        <w:t>基本支出：指为保障机构正常运转、完成日常工作任务而发生的人员支出和公用支出。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28.</w:t>
      </w:r>
      <w:r>
        <w:rPr>
          <w:rFonts w:ascii="仿宋_GB2312" w:eastAsia="仿宋_GB2312" w:cs="仿宋_GB2312" w:hint="eastAsia"/>
          <w:color w:val="000000"/>
          <w:sz w:val="32"/>
          <w:szCs w:val="32"/>
        </w:rPr>
        <w:t>项目支出：指在基本支出之外为完成特定行政任务和事业发展目标所发生的支出。</w:t>
      </w:r>
    </w:p>
    <w:p w:rsidR="007B0230" w:rsidRDefault="007B0230" w:rsidP="007B0230">
      <w:pPr>
        <w:spacing w:line="540" w:lineRule="atLeast"/>
        <w:ind w:firstLineChars="200" w:firstLine="640"/>
        <w:rPr>
          <w:rFonts w:ascii="仿宋_GB2312" w:eastAsia="仿宋_GB2312"/>
          <w:color w:val="000000"/>
          <w:sz w:val="32"/>
          <w:szCs w:val="32"/>
        </w:rPr>
      </w:pPr>
      <w:r>
        <w:rPr>
          <w:rFonts w:ascii="仿宋_GB2312" w:eastAsia="仿宋_GB2312" w:cs="仿宋_GB2312"/>
          <w:color w:val="000000"/>
          <w:sz w:val="32"/>
          <w:szCs w:val="32"/>
        </w:rPr>
        <w:t>29.</w:t>
      </w:r>
      <w:r>
        <w:rPr>
          <w:rFonts w:ascii="仿宋_GB2312" w:eastAsia="仿宋_GB2312" w:cs="仿宋_GB2312" w:hint="eastAsia"/>
          <w:color w:val="000000"/>
          <w:sz w:val="32"/>
          <w:szCs w:val="32"/>
        </w:rPr>
        <w:t>经营支出：指事业单位在专业业务活动及其辅助活动之外开展非独立核算经营活动发生的支出。</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30.</w:t>
      </w:r>
      <w:r>
        <w:rPr>
          <w:rFonts w:ascii="仿宋_GB2312" w:eastAsia="仿宋_GB2312" w:cs="仿宋_GB2312" w:hint="eastAsia"/>
          <w:sz w:val="32"/>
          <w:szCs w:val="32"/>
        </w:rPr>
        <w:t>“三公”经费：指部门用财政拨款安排的因公出国（境）费、公务用车购置及运行费和公务接待费。其中，因公出国（境）</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单位公务出国（境）的国际旅费、国外城市间交通费、住宿费、伙食费、培训费、公杂费等支出；公务用车购置及运行</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单位公务用车车辆购置支出（</w:t>
      </w:r>
      <w:proofErr w:type="gramStart"/>
      <w:r>
        <w:rPr>
          <w:rFonts w:ascii="仿宋_GB2312" w:eastAsia="仿宋_GB2312" w:cs="仿宋_GB2312" w:hint="eastAsia"/>
          <w:sz w:val="32"/>
          <w:szCs w:val="32"/>
        </w:rPr>
        <w:t>含车辆</w:t>
      </w:r>
      <w:proofErr w:type="gramEnd"/>
      <w:r>
        <w:rPr>
          <w:rFonts w:ascii="仿宋_GB2312" w:eastAsia="仿宋_GB2312" w:cs="仿宋_GB2312" w:hint="eastAsia"/>
          <w:sz w:val="32"/>
          <w:szCs w:val="32"/>
        </w:rPr>
        <w:t>购置税）及租用费、燃料费、维修费、过路过桥费、保险费等支出；公务接待</w:t>
      </w:r>
      <w:proofErr w:type="gramStart"/>
      <w:r>
        <w:rPr>
          <w:rFonts w:ascii="仿宋_GB2312" w:eastAsia="仿宋_GB2312" w:cs="仿宋_GB2312" w:hint="eastAsia"/>
          <w:sz w:val="32"/>
          <w:szCs w:val="32"/>
        </w:rPr>
        <w:t>费反映</w:t>
      </w:r>
      <w:proofErr w:type="gramEnd"/>
      <w:r>
        <w:rPr>
          <w:rFonts w:ascii="仿宋_GB2312" w:eastAsia="仿宋_GB2312" w:cs="仿宋_GB2312" w:hint="eastAsia"/>
          <w:sz w:val="32"/>
          <w:szCs w:val="32"/>
        </w:rPr>
        <w:t>单位按规定开支的各类公务接待（含外宾接待）支出。</w:t>
      </w:r>
    </w:p>
    <w:p w:rsidR="007B0230" w:rsidRDefault="007B0230" w:rsidP="007B0230">
      <w:pPr>
        <w:pStyle w:val="Default"/>
        <w:spacing w:line="540" w:lineRule="atLeast"/>
        <w:ind w:firstLineChars="200" w:firstLine="640"/>
        <w:rPr>
          <w:rFonts w:ascii="仿宋_GB2312" w:eastAsia="仿宋_GB2312" w:cs="Times New Roman"/>
          <w:sz w:val="32"/>
          <w:szCs w:val="32"/>
        </w:rPr>
      </w:pPr>
      <w:r>
        <w:rPr>
          <w:rFonts w:ascii="仿宋_GB2312" w:eastAsia="仿宋_GB2312" w:cs="仿宋_GB2312"/>
          <w:sz w:val="32"/>
          <w:szCs w:val="32"/>
        </w:rPr>
        <w:t>31.</w:t>
      </w:r>
      <w:r>
        <w:rPr>
          <w:rFonts w:ascii="仿宋_GB2312" w:eastAsia="仿宋_GB2312" w:cs="仿宋_GB2312" w:hint="eastAsia"/>
          <w:sz w:val="32"/>
          <w:szCs w:val="32"/>
        </w:rPr>
        <w:t>机关运行经费：为保障行政单位（含参照公务员法</w:t>
      </w:r>
      <w:r>
        <w:rPr>
          <w:rFonts w:ascii="仿宋_GB2312" w:eastAsia="仿宋_GB2312" w:cs="仿宋_GB2312" w:hint="eastAsia"/>
          <w:sz w:val="32"/>
          <w:szCs w:val="32"/>
        </w:rPr>
        <w:lastRenderedPageBreak/>
        <w:t>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7B0230" w:rsidRDefault="007B0230" w:rsidP="007B0230">
      <w:pPr>
        <w:spacing w:line="540" w:lineRule="atLeast"/>
        <w:ind w:firstLineChars="200" w:firstLine="643"/>
        <w:rPr>
          <w:rFonts w:ascii="仿宋" w:eastAsia="仿宋" w:hAnsi="仿宋"/>
          <w:b/>
          <w:bCs/>
          <w:color w:val="000000"/>
          <w:sz w:val="32"/>
          <w:szCs w:val="32"/>
        </w:rPr>
      </w:pPr>
    </w:p>
    <w:bookmarkEnd w:id="46"/>
    <w:p w:rsidR="007B0230" w:rsidRDefault="007B0230" w:rsidP="007B0230">
      <w:pPr>
        <w:pStyle w:val="2"/>
        <w:ind w:leftChars="0" w:firstLine="0"/>
      </w:pPr>
      <w:r>
        <w:rPr>
          <w:rFonts w:ascii="宋体"/>
          <w:b/>
          <w:bCs/>
          <w:color w:val="000000"/>
          <w:sz w:val="44"/>
          <w:szCs w:val="44"/>
        </w:rPr>
        <w:br w:type="page"/>
      </w:r>
    </w:p>
    <w:p w:rsidR="00917C40" w:rsidRDefault="00917C40" w:rsidP="00917C40">
      <w:pPr>
        <w:spacing w:line="600" w:lineRule="exact"/>
        <w:jc w:val="center"/>
        <w:rPr>
          <w:rStyle w:val="1Char"/>
          <w:rFonts w:ascii="黑体" w:eastAsia="黑体" w:hAnsi="黑体"/>
          <w:b w:val="0"/>
        </w:rPr>
      </w:pPr>
      <w:bookmarkStart w:id="47" w:name="_Toc15396614"/>
      <w:r>
        <w:rPr>
          <w:rFonts w:ascii="黑体" w:eastAsia="黑体" w:hAnsi="黑体" w:hint="eastAsia"/>
          <w:color w:val="000000"/>
          <w:sz w:val="44"/>
          <w:szCs w:val="44"/>
        </w:rPr>
        <w:lastRenderedPageBreak/>
        <w:t>第</w:t>
      </w:r>
      <w:r>
        <w:rPr>
          <w:rStyle w:val="1Char"/>
          <w:rFonts w:ascii="黑体" w:eastAsia="黑体" w:hAnsi="黑体" w:hint="eastAsia"/>
          <w:b w:val="0"/>
        </w:rPr>
        <w:t>四部分 附件</w:t>
      </w:r>
      <w:bookmarkEnd w:id="47"/>
    </w:p>
    <w:p w:rsidR="00917C40" w:rsidRDefault="00917C40" w:rsidP="00CD0D80">
      <w:pPr>
        <w:rPr>
          <w:rFonts w:ascii="黑体" w:eastAsia="黑体" w:hAnsi="黑体"/>
          <w:sz w:val="32"/>
          <w:szCs w:val="32"/>
        </w:rPr>
      </w:pPr>
      <w:r w:rsidRPr="00CD0D80">
        <w:rPr>
          <w:rFonts w:ascii="黑体" w:eastAsia="黑体" w:hAnsi="黑体" w:hint="eastAsia"/>
          <w:sz w:val="32"/>
          <w:szCs w:val="32"/>
        </w:rPr>
        <w:t>附件</w:t>
      </w:r>
      <w:r w:rsidR="00014C7B">
        <w:rPr>
          <w:rFonts w:ascii="黑体" w:eastAsia="黑体" w:hAnsi="黑体" w:hint="eastAsia"/>
          <w:sz w:val="32"/>
          <w:szCs w:val="32"/>
        </w:rPr>
        <w:t>1</w:t>
      </w:r>
    </w:p>
    <w:p w:rsidR="00C1474B" w:rsidRDefault="00C1474B" w:rsidP="00C1474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德阳市城市管理行政执法局</w:t>
      </w:r>
    </w:p>
    <w:p w:rsidR="00C1474B" w:rsidRDefault="00C1474B" w:rsidP="00C1474B">
      <w:pPr>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2021年度部门整体支出绩效自评报告</w:t>
      </w:r>
    </w:p>
    <w:p w:rsidR="00C1474B" w:rsidRDefault="00C1474B" w:rsidP="00C1474B">
      <w:pPr>
        <w:spacing w:line="600" w:lineRule="exact"/>
        <w:jc w:val="center"/>
        <w:rPr>
          <w:rFonts w:ascii="方正仿宋_GBK" w:eastAsia="方正仿宋_GBK" w:hAnsi="方正仿宋_GBK" w:cs="方正仿宋_GBK"/>
          <w:sz w:val="32"/>
          <w:szCs w:val="32"/>
        </w:rPr>
      </w:pPr>
    </w:p>
    <w:p w:rsidR="00C1474B" w:rsidRPr="00FC3466" w:rsidRDefault="00C1474B" w:rsidP="00C1474B">
      <w:pPr>
        <w:spacing w:line="600" w:lineRule="exact"/>
        <w:ind w:firstLineChars="221" w:firstLine="707"/>
        <w:rPr>
          <w:rFonts w:ascii="黑体" w:eastAsia="黑体" w:hAnsi="黑体" w:cs="方正黑体_GBK"/>
          <w:sz w:val="32"/>
          <w:szCs w:val="32"/>
        </w:rPr>
      </w:pPr>
      <w:r w:rsidRPr="00FC3466">
        <w:rPr>
          <w:rFonts w:ascii="黑体" w:eastAsia="黑体" w:hAnsi="黑体" w:cs="方正黑体_GBK" w:hint="eastAsia"/>
          <w:sz w:val="32"/>
          <w:szCs w:val="32"/>
        </w:rPr>
        <w:t>一、本部门概况</w:t>
      </w:r>
    </w:p>
    <w:p w:rsidR="00C1474B" w:rsidRPr="00E62DE3" w:rsidRDefault="00C1474B" w:rsidP="00C1474B">
      <w:pPr>
        <w:spacing w:line="600" w:lineRule="exact"/>
        <w:ind w:firstLineChars="200" w:firstLine="700"/>
        <w:rPr>
          <w:rFonts w:ascii="仿宋" w:eastAsia="仿宋" w:hAnsi="仿宋" w:cs="方正仿宋_GBK"/>
          <w:sz w:val="32"/>
          <w:szCs w:val="32"/>
        </w:rPr>
      </w:pPr>
      <w:r w:rsidRPr="00E62DE3">
        <w:rPr>
          <w:rFonts w:ascii="仿宋" w:eastAsia="仿宋" w:hAnsi="仿宋" w:cs="方正仿宋_GBK" w:hint="eastAsia"/>
          <w:spacing w:val="15"/>
          <w:sz w:val="32"/>
          <w:szCs w:val="32"/>
          <w:shd w:val="clear" w:color="auto" w:fill="FFFFFF"/>
        </w:rPr>
        <w:t>德阳市城市管理行政执法局成立于2010年9月，</w:t>
      </w:r>
      <w:r w:rsidRPr="00E62DE3">
        <w:rPr>
          <w:rFonts w:ascii="仿宋" w:eastAsia="仿宋" w:hAnsi="仿宋" w:cs="方正仿宋_GBK" w:hint="eastAsia"/>
          <w:sz w:val="32"/>
          <w:szCs w:val="32"/>
        </w:rPr>
        <w:t>为市政府工作部门。</w:t>
      </w:r>
    </w:p>
    <w:p w:rsidR="00C1474B" w:rsidRPr="00E62DE3" w:rsidRDefault="00C1474B" w:rsidP="00C1474B">
      <w:pPr>
        <w:adjustRightInd w:val="0"/>
        <w:snapToGrid w:val="0"/>
        <w:spacing w:line="600" w:lineRule="exact"/>
        <w:ind w:firstLine="720"/>
        <w:rPr>
          <w:rFonts w:ascii="仿宋" w:eastAsia="仿宋" w:hAnsi="仿宋" w:cs="方正仿宋_GBK"/>
          <w:spacing w:val="15"/>
          <w:sz w:val="32"/>
          <w:szCs w:val="32"/>
          <w:shd w:val="clear" w:color="auto" w:fill="FFFFFF"/>
        </w:rPr>
      </w:pPr>
      <w:r w:rsidRPr="00FC3466">
        <w:rPr>
          <w:rFonts w:ascii="仿宋" w:eastAsia="仿宋" w:hAnsi="仿宋" w:cs="方正楷体_GBK" w:hint="eastAsia"/>
          <w:b/>
          <w:sz w:val="32"/>
          <w:szCs w:val="32"/>
        </w:rPr>
        <w:t>（一）机构设置。</w:t>
      </w:r>
      <w:r w:rsidRPr="00E62DE3">
        <w:rPr>
          <w:rFonts w:ascii="仿宋" w:eastAsia="仿宋" w:hAnsi="仿宋" w:cs="方正仿宋_GBK" w:hint="eastAsia"/>
          <w:spacing w:val="15"/>
          <w:sz w:val="32"/>
          <w:szCs w:val="32"/>
          <w:shd w:val="clear" w:color="auto" w:fill="FFFFFF"/>
        </w:rPr>
        <w:t>局下属事业单位有：城市综合管理指挥中心、市容环境卫生管理处、市政工程维护管理处、园林管理局、城市照明设施管理处、公园管理处、市城市管理行政执法支队、市建设监察支队。局机关下设办公室、政策法规科、综合管理科、信访应急科、目标督查科、执法监督科、财务审计科、政工人事科、行政审批科。</w:t>
      </w:r>
    </w:p>
    <w:p w:rsidR="00C1474B" w:rsidRPr="00FC3466" w:rsidRDefault="00C1474B" w:rsidP="00C1474B">
      <w:pPr>
        <w:spacing w:line="560" w:lineRule="exact"/>
        <w:ind w:firstLineChars="221" w:firstLine="710"/>
        <w:rPr>
          <w:rFonts w:ascii="仿宋" w:eastAsia="仿宋" w:hAnsi="仿宋"/>
          <w:b/>
          <w:sz w:val="32"/>
          <w:szCs w:val="32"/>
        </w:rPr>
      </w:pPr>
      <w:r w:rsidRPr="00FC3466">
        <w:rPr>
          <w:rFonts w:ascii="仿宋" w:eastAsia="仿宋" w:hAnsi="仿宋" w:hint="eastAsia"/>
          <w:b/>
          <w:sz w:val="32"/>
          <w:szCs w:val="32"/>
        </w:rPr>
        <w:t>（二）职能职责。</w:t>
      </w:r>
    </w:p>
    <w:p w:rsidR="00C1474B" w:rsidRPr="00E62DE3" w:rsidRDefault="00C1474B" w:rsidP="00C1474B">
      <w:pPr>
        <w:snapToGrid w:val="0"/>
        <w:spacing w:line="600" w:lineRule="exact"/>
        <w:ind w:firstLineChars="200" w:firstLine="700"/>
        <w:rPr>
          <w:rFonts w:ascii="仿宋" w:eastAsia="仿宋" w:hAnsi="仿宋"/>
          <w:spacing w:val="15"/>
          <w:sz w:val="32"/>
          <w:szCs w:val="32"/>
          <w:shd w:val="clear" w:color="auto" w:fill="FFFFFF"/>
        </w:rPr>
      </w:pPr>
      <w:r w:rsidRPr="00E62DE3">
        <w:rPr>
          <w:rFonts w:ascii="仿宋" w:eastAsia="仿宋" w:hAnsi="仿宋"/>
          <w:spacing w:val="15"/>
          <w:sz w:val="32"/>
          <w:szCs w:val="32"/>
          <w:shd w:val="clear" w:color="auto" w:fill="FFFFFF"/>
        </w:rPr>
        <w:t>1.</w:t>
      </w:r>
      <w:r w:rsidRPr="00E62DE3">
        <w:rPr>
          <w:rFonts w:ascii="仿宋" w:eastAsia="仿宋" w:hAnsi="仿宋" w:hint="eastAsia"/>
          <w:spacing w:val="15"/>
          <w:sz w:val="32"/>
          <w:szCs w:val="32"/>
          <w:shd w:val="clear" w:color="auto" w:fill="FFFFFF"/>
        </w:rPr>
        <w:t>负责宣传贯彻执行国家、省、市有关城市市容卫生综合管理和城市管理行政执法方面的法律、法规、规章和政策；负责起草相关规范性文件，经批准后组织实施；负责本系统、本部门依法行政工作，负责研究制定城市管理的年度计划和中长期规划。</w:t>
      </w:r>
      <w:r w:rsidRPr="00E62DE3">
        <w:rPr>
          <w:rFonts w:ascii="仿宋" w:eastAsia="仿宋" w:hAnsi="仿宋"/>
          <w:spacing w:val="15"/>
          <w:sz w:val="32"/>
          <w:szCs w:val="32"/>
          <w:shd w:val="clear" w:color="auto" w:fill="FFFFFF"/>
        </w:rPr>
        <w:br/>
        <w:t xml:space="preserve">    2.</w:t>
      </w:r>
      <w:r w:rsidRPr="00E62DE3">
        <w:rPr>
          <w:rFonts w:ascii="仿宋" w:eastAsia="仿宋" w:hAnsi="仿宋" w:hint="eastAsia"/>
          <w:spacing w:val="15"/>
          <w:sz w:val="32"/>
          <w:szCs w:val="32"/>
          <w:shd w:val="clear" w:color="auto" w:fill="FFFFFF"/>
        </w:rPr>
        <w:t>负责建成区内市容环境卫生和市容市貌工作，组织协调专项治理和城市管理重大活动。</w:t>
      </w:r>
      <w:r w:rsidRPr="00E62DE3">
        <w:rPr>
          <w:rFonts w:ascii="仿宋" w:eastAsia="仿宋" w:hAnsi="仿宋"/>
          <w:spacing w:val="15"/>
          <w:sz w:val="32"/>
          <w:szCs w:val="32"/>
          <w:shd w:val="clear" w:color="auto" w:fill="FFFFFF"/>
        </w:rPr>
        <w:br/>
      </w:r>
      <w:r w:rsidRPr="00E62DE3">
        <w:rPr>
          <w:rFonts w:ascii="仿宋" w:eastAsia="仿宋" w:hAnsi="仿宋"/>
          <w:spacing w:val="15"/>
          <w:sz w:val="32"/>
          <w:szCs w:val="32"/>
          <w:shd w:val="clear" w:color="auto" w:fill="FFFFFF"/>
        </w:rPr>
        <w:lastRenderedPageBreak/>
        <w:t xml:space="preserve">    3.</w:t>
      </w:r>
      <w:r w:rsidRPr="00E62DE3">
        <w:rPr>
          <w:rFonts w:ascii="仿宋" w:eastAsia="仿宋" w:hAnsi="仿宋" w:hint="eastAsia"/>
          <w:spacing w:val="15"/>
          <w:sz w:val="32"/>
          <w:szCs w:val="32"/>
          <w:shd w:val="clear" w:color="auto" w:fill="FFFFFF"/>
        </w:rPr>
        <w:t>负责市政设施、园林绿化、城市照明、城市公园管理维护等方面工作及户外广告等管理利用。</w:t>
      </w:r>
      <w:r w:rsidRPr="00E62DE3">
        <w:rPr>
          <w:rFonts w:ascii="仿宋" w:eastAsia="仿宋" w:hAnsi="仿宋"/>
          <w:spacing w:val="15"/>
          <w:sz w:val="32"/>
          <w:szCs w:val="32"/>
          <w:shd w:val="clear" w:color="auto" w:fill="FFFFFF"/>
        </w:rPr>
        <w:br/>
        <w:t xml:space="preserve">    4.</w:t>
      </w:r>
      <w:r w:rsidRPr="00E62DE3">
        <w:rPr>
          <w:rFonts w:ascii="仿宋" w:eastAsia="仿宋" w:hAnsi="仿宋" w:hint="eastAsia"/>
          <w:spacing w:val="15"/>
          <w:sz w:val="32"/>
          <w:szCs w:val="32"/>
          <w:shd w:val="clear" w:color="auto" w:fill="FFFFFF"/>
        </w:rPr>
        <w:t>负责制定职责范围内的城市维护费（新、改、扩建市政设施部分除外）和专项经费的年度计划和局属事业单位的资金核拨，并对使用情况实施监督。</w:t>
      </w:r>
      <w:r w:rsidRPr="00E62DE3">
        <w:rPr>
          <w:rFonts w:ascii="仿宋" w:eastAsia="仿宋" w:hAnsi="仿宋"/>
          <w:spacing w:val="15"/>
          <w:sz w:val="32"/>
          <w:szCs w:val="32"/>
          <w:shd w:val="clear" w:color="auto" w:fill="FFFFFF"/>
        </w:rPr>
        <w:br/>
        <w:t xml:space="preserve">    5.</w:t>
      </w:r>
      <w:r w:rsidRPr="00E62DE3">
        <w:rPr>
          <w:rFonts w:ascii="仿宋" w:eastAsia="仿宋" w:hAnsi="仿宋" w:hint="eastAsia"/>
          <w:spacing w:val="15"/>
          <w:sz w:val="32"/>
          <w:szCs w:val="32"/>
          <w:shd w:val="clear" w:color="auto" w:fill="FFFFFF"/>
        </w:rPr>
        <w:t>住房城乡建设领域法律法规规章规定的全部行政处罚权。</w:t>
      </w:r>
      <w:r w:rsidRPr="00E62DE3">
        <w:rPr>
          <w:rFonts w:ascii="仿宋" w:eastAsia="仿宋" w:hAnsi="仿宋"/>
          <w:spacing w:val="15"/>
          <w:sz w:val="32"/>
          <w:szCs w:val="32"/>
          <w:shd w:val="clear" w:color="auto" w:fill="FFFFFF"/>
        </w:rPr>
        <w:br/>
        <w:t xml:space="preserve">    6.</w:t>
      </w:r>
      <w:r w:rsidRPr="00E62DE3">
        <w:rPr>
          <w:rFonts w:ascii="仿宋" w:eastAsia="仿宋" w:hAnsi="仿宋" w:hint="eastAsia"/>
          <w:spacing w:val="15"/>
          <w:sz w:val="32"/>
          <w:szCs w:val="32"/>
          <w:shd w:val="clear" w:color="auto" w:fill="FFFFFF"/>
        </w:rPr>
        <w:t>生态环境管理方面社会生活噪声污染、建筑施工噪声污染、建筑施工扬尘污染、餐饮服务业油烟污染、露天烧烤污染、城市焚烧沥青塑料垃圾等烟尘和恶臭污染、露天焚烧秸秆落叶等烟尘污染、燃放烟花爆竹污染等的行政处罚权。</w:t>
      </w:r>
      <w:r w:rsidRPr="00E62DE3">
        <w:rPr>
          <w:rFonts w:ascii="仿宋" w:eastAsia="仿宋" w:hAnsi="仿宋"/>
          <w:spacing w:val="15"/>
          <w:sz w:val="32"/>
          <w:szCs w:val="32"/>
          <w:shd w:val="clear" w:color="auto" w:fill="FFFFFF"/>
        </w:rPr>
        <w:br/>
        <w:t xml:space="preserve">    7.</w:t>
      </w:r>
      <w:r w:rsidRPr="00E62DE3">
        <w:rPr>
          <w:rFonts w:ascii="仿宋" w:eastAsia="仿宋" w:hAnsi="仿宋" w:hint="eastAsia"/>
          <w:spacing w:val="15"/>
          <w:sz w:val="32"/>
          <w:szCs w:val="32"/>
          <w:shd w:val="clear" w:color="auto" w:fill="FFFFFF"/>
        </w:rPr>
        <w:t>市场监督管理方面户外公共场所无照经营、违规设置户外广告的行政处罚权。</w:t>
      </w:r>
      <w:r w:rsidRPr="00E62DE3">
        <w:rPr>
          <w:rFonts w:ascii="仿宋" w:eastAsia="仿宋" w:hAnsi="仿宋"/>
          <w:spacing w:val="15"/>
          <w:sz w:val="32"/>
          <w:szCs w:val="32"/>
          <w:shd w:val="clear" w:color="auto" w:fill="FFFFFF"/>
        </w:rPr>
        <w:br/>
        <w:t xml:space="preserve">    8.</w:t>
      </w:r>
      <w:r w:rsidRPr="00E62DE3">
        <w:rPr>
          <w:rFonts w:ascii="仿宋" w:eastAsia="仿宋" w:hAnsi="仿宋" w:hint="eastAsia"/>
          <w:spacing w:val="15"/>
          <w:sz w:val="32"/>
          <w:szCs w:val="32"/>
          <w:shd w:val="clear" w:color="auto" w:fill="FFFFFF"/>
        </w:rPr>
        <w:t>水利管理方面向城市河道倾倒废弃物和垃圾及违规取土、城市河道违法建筑物拆除等的行政处罚权。</w:t>
      </w:r>
      <w:r w:rsidRPr="00E62DE3">
        <w:rPr>
          <w:rFonts w:ascii="仿宋" w:eastAsia="仿宋" w:hAnsi="仿宋"/>
          <w:spacing w:val="15"/>
          <w:sz w:val="32"/>
          <w:szCs w:val="32"/>
          <w:shd w:val="clear" w:color="auto" w:fill="FFFFFF"/>
        </w:rPr>
        <w:br/>
        <w:t xml:space="preserve">    9.</w:t>
      </w:r>
      <w:r w:rsidRPr="00E62DE3">
        <w:rPr>
          <w:rFonts w:ascii="仿宋" w:eastAsia="仿宋" w:hAnsi="仿宋" w:hint="eastAsia"/>
          <w:spacing w:val="15"/>
          <w:sz w:val="32"/>
          <w:szCs w:val="32"/>
          <w:shd w:val="clear" w:color="auto" w:fill="FFFFFF"/>
        </w:rPr>
        <w:t>食品药品监管方面户外公共场所食品销售和餐饮摊点无证经营、违法回收贩卖药品等的行政处罚权。</w:t>
      </w:r>
      <w:r w:rsidRPr="00E62DE3">
        <w:rPr>
          <w:rFonts w:ascii="仿宋" w:eastAsia="仿宋" w:hAnsi="仿宋"/>
          <w:spacing w:val="15"/>
          <w:sz w:val="32"/>
          <w:szCs w:val="32"/>
          <w:shd w:val="clear" w:color="auto" w:fill="FFFFFF"/>
        </w:rPr>
        <w:br/>
        <w:t xml:space="preserve">    10.</w:t>
      </w:r>
      <w:r w:rsidRPr="00E62DE3">
        <w:rPr>
          <w:rFonts w:ascii="仿宋" w:eastAsia="仿宋" w:hAnsi="仿宋" w:hint="eastAsia"/>
          <w:spacing w:val="15"/>
          <w:sz w:val="32"/>
          <w:szCs w:val="32"/>
          <w:shd w:val="clear" w:color="auto" w:fill="FFFFFF"/>
        </w:rPr>
        <w:t>承担市政府公布的行政审批和公共服务事项。</w:t>
      </w:r>
      <w:r w:rsidRPr="00E62DE3">
        <w:rPr>
          <w:rFonts w:ascii="仿宋" w:eastAsia="仿宋" w:hAnsi="仿宋"/>
          <w:spacing w:val="15"/>
          <w:sz w:val="32"/>
          <w:szCs w:val="32"/>
          <w:shd w:val="clear" w:color="auto" w:fill="FFFFFF"/>
        </w:rPr>
        <w:br/>
        <w:t xml:space="preserve">    11.</w:t>
      </w:r>
      <w:r w:rsidRPr="00E62DE3">
        <w:rPr>
          <w:rFonts w:ascii="仿宋" w:eastAsia="仿宋" w:hAnsi="仿宋" w:hint="eastAsia"/>
          <w:spacing w:val="15"/>
          <w:sz w:val="32"/>
          <w:szCs w:val="32"/>
          <w:shd w:val="clear" w:color="auto" w:fill="FFFFFF"/>
        </w:rPr>
        <w:t>承办市政府交办的其它事项。</w:t>
      </w:r>
    </w:p>
    <w:p w:rsidR="00C1474B" w:rsidRPr="00E62DE3" w:rsidRDefault="00C1474B" w:rsidP="00C1474B">
      <w:pPr>
        <w:snapToGrid w:val="0"/>
        <w:spacing w:line="600" w:lineRule="exact"/>
        <w:ind w:firstLineChars="200" w:firstLine="643"/>
        <w:rPr>
          <w:rFonts w:ascii="仿宋" w:eastAsia="仿宋" w:hAnsi="仿宋" w:cs="方正仿宋_GBK"/>
          <w:spacing w:val="15"/>
          <w:sz w:val="32"/>
          <w:szCs w:val="32"/>
          <w:shd w:val="clear" w:color="auto" w:fill="FFFFFF"/>
        </w:rPr>
      </w:pPr>
      <w:r w:rsidRPr="00FC3466">
        <w:rPr>
          <w:rFonts w:ascii="仿宋" w:eastAsia="仿宋" w:hAnsi="仿宋" w:cs="方正楷体_GBK" w:hint="eastAsia"/>
          <w:b/>
          <w:sz w:val="32"/>
          <w:szCs w:val="32"/>
        </w:rPr>
        <w:t>（</w:t>
      </w:r>
      <w:r w:rsidRPr="00FC3466">
        <w:rPr>
          <w:rFonts w:ascii="仿宋" w:eastAsia="仿宋" w:hAnsi="仿宋" w:cs="宋体" w:hint="eastAsia"/>
          <w:b/>
          <w:sz w:val="32"/>
          <w:szCs w:val="32"/>
        </w:rPr>
        <w:t>三</w:t>
      </w:r>
      <w:r w:rsidRPr="00FC3466">
        <w:rPr>
          <w:rFonts w:ascii="仿宋" w:eastAsia="仿宋" w:hAnsi="仿宋" w:cs="方正楷体_GBK" w:hint="eastAsia"/>
          <w:b/>
          <w:sz w:val="32"/>
          <w:szCs w:val="32"/>
        </w:rPr>
        <w:t>）人员概况。</w:t>
      </w:r>
      <w:r w:rsidRPr="00E62DE3">
        <w:rPr>
          <w:rFonts w:ascii="仿宋" w:eastAsia="仿宋" w:hAnsi="仿宋" w:cs="方正仿宋_GBK" w:hint="eastAsia"/>
          <w:spacing w:val="15"/>
          <w:sz w:val="32"/>
          <w:szCs w:val="32"/>
          <w:shd w:val="clear" w:color="auto" w:fill="FFFFFF"/>
        </w:rPr>
        <w:t>2021年末，我局</w:t>
      </w:r>
      <w:r w:rsidR="00A16878">
        <w:rPr>
          <w:rFonts w:ascii="仿宋" w:eastAsia="仿宋" w:hAnsi="仿宋" w:cs="方正仿宋_GBK" w:hint="eastAsia"/>
          <w:spacing w:val="15"/>
          <w:sz w:val="32"/>
          <w:szCs w:val="32"/>
          <w:shd w:val="clear" w:color="auto" w:fill="FFFFFF"/>
        </w:rPr>
        <w:t>机关</w:t>
      </w:r>
      <w:r w:rsidRPr="00E62DE3">
        <w:rPr>
          <w:rFonts w:ascii="仿宋" w:eastAsia="仿宋" w:hAnsi="仿宋" w:cs="方正仿宋_GBK" w:hint="eastAsia"/>
          <w:spacing w:val="15"/>
          <w:sz w:val="32"/>
          <w:szCs w:val="32"/>
          <w:shd w:val="clear" w:color="auto" w:fill="FFFFFF"/>
        </w:rPr>
        <w:t>在职职工实有人数</w:t>
      </w:r>
      <w:r w:rsidR="00A16878">
        <w:rPr>
          <w:rFonts w:ascii="仿宋" w:eastAsia="仿宋" w:hAnsi="仿宋" w:cs="方正仿宋_GBK" w:hint="eastAsia"/>
          <w:spacing w:val="15"/>
          <w:sz w:val="32"/>
          <w:szCs w:val="32"/>
          <w:shd w:val="clear" w:color="auto" w:fill="FFFFFF"/>
        </w:rPr>
        <w:t>346</w:t>
      </w:r>
      <w:r w:rsidRPr="00E62DE3">
        <w:rPr>
          <w:rFonts w:ascii="仿宋" w:eastAsia="仿宋" w:hAnsi="仿宋" w:cs="方正仿宋_GBK" w:hint="eastAsia"/>
          <w:spacing w:val="15"/>
          <w:sz w:val="32"/>
          <w:szCs w:val="32"/>
          <w:shd w:val="clear" w:color="auto" w:fill="FFFFFF"/>
        </w:rPr>
        <w:t>人，其中行政人员31人、参照公务员法管理事业人员24人、</w:t>
      </w:r>
      <w:proofErr w:type="gramStart"/>
      <w:r w:rsidRPr="00E62DE3">
        <w:rPr>
          <w:rFonts w:ascii="仿宋" w:eastAsia="仿宋" w:hAnsi="仿宋" w:cs="方正仿宋_GBK" w:hint="eastAsia"/>
          <w:spacing w:val="15"/>
          <w:sz w:val="32"/>
          <w:szCs w:val="32"/>
          <w:shd w:val="clear" w:color="auto" w:fill="FFFFFF"/>
        </w:rPr>
        <w:t>非参公事</w:t>
      </w:r>
      <w:proofErr w:type="gramEnd"/>
      <w:r w:rsidRPr="00E62DE3">
        <w:rPr>
          <w:rFonts w:ascii="仿宋" w:eastAsia="仿宋" w:hAnsi="仿宋" w:cs="方正仿宋_GBK" w:hint="eastAsia"/>
          <w:spacing w:val="15"/>
          <w:sz w:val="32"/>
          <w:szCs w:val="32"/>
          <w:shd w:val="clear" w:color="auto" w:fill="FFFFFF"/>
        </w:rPr>
        <w:t>业人员</w:t>
      </w:r>
      <w:r w:rsidR="00A16878">
        <w:rPr>
          <w:rFonts w:ascii="仿宋" w:eastAsia="仿宋" w:hAnsi="仿宋" w:cs="方正仿宋_GBK" w:hint="eastAsia"/>
          <w:spacing w:val="15"/>
          <w:sz w:val="32"/>
          <w:szCs w:val="32"/>
          <w:shd w:val="clear" w:color="auto" w:fill="FFFFFF"/>
        </w:rPr>
        <w:t>291</w:t>
      </w:r>
      <w:r w:rsidRPr="00E62DE3">
        <w:rPr>
          <w:rFonts w:ascii="仿宋" w:eastAsia="仿宋" w:hAnsi="仿宋" w:cs="方正仿宋_GBK" w:hint="eastAsia"/>
          <w:spacing w:val="15"/>
          <w:sz w:val="32"/>
          <w:szCs w:val="32"/>
          <w:shd w:val="clear" w:color="auto" w:fill="FFFFFF"/>
        </w:rPr>
        <w:t>人。</w:t>
      </w:r>
    </w:p>
    <w:p w:rsidR="00C1474B" w:rsidRPr="00FC3466" w:rsidRDefault="00C1474B" w:rsidP="00C1474B">
      <w:pPr>
        <w:spacing w:line="600" w:lineRule="exact"/>
        <w:ind w:firstLineChars="221" w:firstLine="707"/>
        <w:rPr>
          <w:rFonts w:ascii="黑体" w:eastAsia="黑体" w:hAnsi="黑体" w:cs="方正仿宋_GBK"/>
          <w:sz w:val="32"/>
          <w:szCs w:val="32"/>
        </w:rPr>
      </w:pPr>
      <w:r w:rsidRPr="00FC3466">
        <w:rPr>
          <w:rFonts w:ascii="黑体" w:eastAsia="黑体" w:hAnsi="黑体" w:cs="方正黑体_GBK" w:hint="eastAsia"/>
          <w:sz w:val="32"/>
          <w:szCs w:val="32"/>
        </w:rPr>
        <w:lastRenderedPageBreak/>
        <w:t>二、本部门当年度财政资金收支情况</w:t>
      </w:r>
    </w:p>
    <w:p w:rsidR="00C1474B" w:rsidRPr="00E62DE3" w:rsidRDefault="00C1474B" w:rsidP="00C1474B">
      <w:pPr>
        <w:spacing w:line="600" w:lineRule="exact"/>
        <w:ind w:firstLineChars="221" w:firstLine="710"/>
        <w:rPr>
          <w:rFonts w:ascii="仿宋" w:eastAsia="仿宋" w:hAnsi="仿宋" w:cs="方正仿宋_GBK"/>
          <w:spacing w:val="15"/>
          <w:sz w:val="32"/>
          <w:szCs w:val="32"/>
          <w:shd w:val="clear" w:color="auto" w:fill="FFFFFF"/>
        </w:rPr>
      </w:pPr>
      <w:r w:rsidRPr="00FC3466">
        <w:rPr>
          <w:rFonts w:ascii="仿宋" w:eastAsia="仿宋" w:hAnsi="仿宋" w:cs="方正楷体_GBK" w:hint="eastAsia"/>
          <w:b/>
          <w:sz w:val="32"/>
          <w:szCs w:val="32"/>
        </w:rPr>
        <w:t>（一）收入情况。</w:t>
      </w:r>
      <w:r w:rsidRPr="00E62DE3">
        <w:rPr>
          <w:rFonts w:ascii="仿宋" w:eastAsia="仿宋" w:hAnsi="仿宋" w:cs="方正仿宋_GBK" w:hint="eastAsia"/>
          <w:spacing w:val="15"/>
          <w:sz w:val="32"/>
          <w:szCs w:val="32"/>
          <w:shd w:val="clear" w:color="auto" w:fill="FFFFFF"/>
        </w:rPr>
        <w:t>2021年，我局财政资金收入</w:t>
      </w:r>
      <w:r w:rsidR="009942F7">
        <w:rPr>
          <w:rFonts w:ascii="仿宋" w:eastAsia="仿宋" w:hAnsi="仿宋" w:cs="方正仿宋_GBK" w:hint="eastAsia"/>
          <w:spacing w:val="15"/>
          <w:sz w:val="32"/>
          <w:szCs w:val="32"/>
          <w:shd w:val="clear" w:color="auto" w:fill="FFFFFF"/>
        </w:rPr>
        <w:t>8726.38</w:t>
      </w:r>
      <w:r w:rsidRPr="00E62DE3">
        <w:rPr>
          <w:rFonts w:ascii="仿宋" w:eastAsia="仿宋" w:hAnsi="仿宋" w:cs="方正仿宋_GBK" w:hint="eastAsia"/>
          <w:spacing w:val="15"/>
          <w:sz w:val="32"/>
          <w:szCs w:val="32"/>
          <w:shd w:val="clear" w:color="auto" w:fill="FFFFFF"/>
        </w:rPr>
        <w:t>万元，全部为一般公共预算财政拨款。</w:t>
      </w:r>
    </w:p>
    <w:p w:rsidR="00C1474B" w:rsidRPr="00E62DE3" w:rsidRDefault="00C1474B" w:rsidP="00C1474B">
      <w:pPr>
        <w:spacing w:line="600" w:lineRule="exact"/>
        <w:ind w:firstLineChars="221" w:firstLine="710"/>
        <w:rPr>
          <w:rFonts w:ascii="仿宋" w:eastAsia="仿宋" w:hAnsi="仿宋" w:cs="方正仿宋_GBK"/>
          <w:spacing w:val="15"/>
          <w:sz w:val="32"/>
          <w:szCs w:val="32"/>
          <w:shd w:val="clear" w:color="auto" w:fill="FFFFFF"/>
        </w:rPr>
      </w:pPr>
      <w:r w:rsidRPr="00FC3466">
        <w:rPr>
          <w:rFonts w:ascii="仿宋" w:eastAsia="仿宋" w:hAnsi="仿宋" w:cs="方正楷体_GBK" w:hint="eastAsia"/>
          <w:b/>
          <w:sz w:val="32"/>
          <w:szCs w:val="32"/>
        </w:rPr>
        <w:t>（二）支出情况。</w:t>
      </w:r>
      <w:r w:rsidRPr="00E62DE3">
        <w:rPr>
          <w:rFonts w:ascii="仿宋" w:eastAsia="仿宋" w:hAnsi="仿宋" w:cs="方正仿宋_GBK" w:hint="eastAsia"/>
          <w:spacing w:val="15"/>
          <w:sz w:val="32"/>
          <w:szCs w:val="32"/>
          <w:shd w:val="clear" w:color="auto" w:fill="FFFFFF"/>
        </w:rPr>
        <w:t>2021年，我局财政资金支出</w:t>
      </w:r>
      <w:r w:rsidR="00A16878">
        <w:rPr>
          <w:rFonts w:ascii="仿宋" w:eastAsia="仿宋" w:hAnsi="仿宋" w:cs="方正仿宋_GBK" w:hint="eastAsia"/>
          <w:spacing w:val="15"/>
          <w:sz w:val="32"/>
          <w:szCs w:val="32"/>
          <w:shd w:val="clear" w:color="auto" w:fill="FFFFFF"/>
        </w:rPr>
        <w:t>8799.17</w:t>
      </w:r>
      <w:r w:rsidRPr="00E62DE3">
        <w:rPr>
          <w:rFonts w:ascii="仿宋" w:eastAsia="仿宋" w:hAnsi="仿宋" w:cs="方正仿宋_GBK" w:hint="eastAsia"/>
          <w:spacing w:val="15"/>
          <w:sz w:val="32"/>
          <w:szCs w:val="32"/>
          <w:shd w:val="clear" w:color="auto" w:fill="FFFFFF"/>
        </w:rPr>
        <w:t>万元，其中基本支出</w:t>
      </w:r>
      <w:r w:rsidR="00A16878">
        <w:rPr>
          <w:rFonts w:ascii="仿宋" w:eastAsia="仿宋" w:hAnsi="仿宋" w:cs="方正仿宋_GBK" w:hint="eastAsia"/>
          <w:spacing w:val="15"/>
          <w:sz w:val="32"/>
          <w:szCs w:val="32"/>
          <w:shd w:val="clear" w:color="auto" w:fill="FFFFFF"/>
        </w:rPr>
        <w:t>5857.28</w:t>
      </w:r>
      <w:r w:rsidRPr="00E62DE3">
        <w:rPr>
          <w:rFonts w:ascii="仿宋" w:eastAsia="仿宋" w:hAnsi="仿宋" w:cs="方正仿宋_GBK" w:hint="eastAsia"/>
          <w:spacing w:val="15"/>
          <w:sz w:val="32"/>
          <w:szCs w:val="32"/>
          <w:shd w:val="clear" w:color="auto" w:fill="FFFFFF"/>
        </w:rPr>
        <w:t>万元、占总支出的</w:t>
      </w:r>
      <w:r w:rsidR="00A16878">
        <w:rPr>
          <w:rFonts w:ascii="仿宋" w:eastAsia="仿宋" w:hAnsi="仿宋" w:cs="方正仿宋_GBK" w:hint="eastAsia"/>
          <w:spacing w:val="15"/>
          <w:sz w:val="32"/>
          <w:szCs w:val="32"/>
          <w:shd w:val="clear" w:color="auto" w:fill="FFFFFF"/>
        </w:rPr>
        <w:t>6</w:t>
      </w:r>
      <w:r w:rsidR="009942F7">
        <w:rPr>
          <w:rFonts w:ascii="仿宋" w:eastAsia="仿宋" w:hAnsi="仿宋" w:cs="方正仿宋_GBK" w:hint="eastAsia"/>
          <w:spacing w:val="15"/>
          <w:sz w:val="32"/>
          <w:szCs w:val="32"/>
          <w:shd w:val="clear" w:color="auto" w:fill="FFFFFF"/>
        </w:rPr>
        <w:t>6.57</w:t>
      </w:r>
      <w:r w:rsidRPr="00E62DE3">
        <w:rPr>
          <w:rFonts w:ascii="仿宋" w:eastAsia="仿宋" w:hAnsi="仿宋" w:cs="方正仿宋_GBK" w:hint="eastAsia"/>
          <w:spacing w:val="15"/>
          <w:sz w:val="32"/>
          <w:szCs w:val="32"/>
          <w:shd w:val="clear" w:color="auto" w:fill="FFFFFF"/>
        </w:rPr>
        <w:t>%；项目支出</w:t>
      </w:r>
      <w:r w:rsidR="00A16878">
        <w:rPr>
          <w:rFonts w:ascii="仿宋" w:eastAsia="仿宋" w:hAnsi="仿宋" w:cs="方正仿宋_GBK" w:hint="eastAsia"/>
          <w:spacing w:val="15"/>
          <w:sz w:val="32"/>
          <w:szCs w:val="32"/>
          <w:shd w:val="clear" w:color="auto" w:fill="FFFFFF"/>
        </w:rPr>
        <w:t>294</w:t>
      </w:r>
      <w:r w:rsidR="009942F7">
        <w:rPr>
          <w:rFonts w:ascii="仿宋" w:eastAsia="仿宋" w:hAnsi="仿宋" w:cs="方正仿宋_GBK" w:hint="eastAsia"/>
          <w:spacing w:val="15"/>
          <w:sz w:val="32"/>
          <w:szCs w:val="32"/>
          <w:shd w:val="clear" w:color="auto" w:fill="FFFFFF"/>
        </w:rPr>
        <w:t>1.89</w:t>
      </w:r>
      <w:r w:rsidRPr="00E62DE3">
        <w:rPr>
          <w:rFonts w:ascii="仿宋" w:eastAsia="仿宋" w:hAnsi="仿宋" w:cs="方正仿宋_GBK" w:hint="eastAsia"/>
          <w:spacing w:val="15"/>
          <w:sz w:val="32"/>
          <w:szCs w:val="32"/>
          <w:shd w:val="clear" w:color="auto" w:fill="FFFFFF"/>
        </w:rPr>
        <w:t>万元、占总支出的</w:t>
      </w:r>
      <w:r w:rsidR="00A16878">
        <w:rPr>
          <w:rFonts w:ascii="仿宋" w:eastAsia="仿宋" w:hAnsi="仿宋" w:cs="方正仿宋_GBK" w:hint="eastAsia"/>
          <w:spacing w:val="15"/>
          <w:sz w:val="32"/>
          <w:szCs w:val="32"/>
          <w:shd w:val="clear" w:color="auto" w:fill="FFFFFF"/>
        </w:rPr>
        <w:t>33.</w:t>
      </w:r>
      <w:r w:rsidR="009942F7">
        <w:rPr>
          <w:rFonts w:ascii="仿宋" w:eastAsia="仿宋" w:hAnsi="仿宋" w:cs="方正仿宋_GBK" w:hint="eastAsia"/>
          <w:spacing w:val="15"/>
          <w:sz w:val="32"/>
          <w:szCs w:val="32"/>
          <w:shd w:val="clear" w:color="auto" w:fill="FFFFFF"/>
        </w:rPr>
        <w:t>43</w:t>
      </w:r>
      <w:r w:rsidRPr="00E62DE3">
        <w:rPr>
          <w:rFonts w:ascii="仿宋" w:eastAsia="仿宋" w:hAnsi="仿宋" w:cs="方正仿宋_GBK" w:hint="eastAsia"/>
          <w:spacing w:val="15"/>
          <w:sz w:val="32"/>
          <w:szCs w:val="32"/>
          <w:shd w:val="clear" w:color="auto" w:fill="FFFFFF"/>
        </w:rPr>
        <w:t>%。基本支出中人员经费</w:t>
      </w:r>
      <w:r w:rsidR="009942F7">
        <w:rPr>
          <w:rFonts w:ascii="仿宋" w:eastAsia="仿宋" w:hAnsi="仿宋" w:cs="方正仿宋_GBK" w:hint="eastAsia"/>
          <w:spacing w:val="15"/>
          <w:sz w:val="32"/>
          <w:szCs w:val="32"/>
          <w:shd w:val="clear" w:color="auto" w:fill="FFFFFF"/>
        </w:rPr>
        <w:t>5238.55</w:t>
      </w:r>
      <w:r w:rsidRPr="00E62DE3">
        <w:rPr>
          <w:rFonts w:ascii="仿宋" w:eastAsia="仿宋" w:hAnsi="仿宋" w:cs="方正仿宋_GBK" w:hint="eastAsia"/>
          <w:spacing w:val="15"/>
          <w:sz w:val="32"/>
          <w:szCs w:val="32"/>
          <w:shd w:val="clear" w:color="auto" w:fill="FFFFFF"/>
        </w:rPr>
        <w:t>万元、</w:t>
      </w:r>
      <w:proofErr w:type="gramStart"/>
      <w:r w:rsidRPr="00E62DE3">
        <w:rPr>
          <w:rFonts w:ascii="仿宋" w:eastAsia="仿宋" w:hAnsi="仿宋" w:cs="方正仿宋_GBK" w:hint="eastAsia"/>
          <w:spacing w:val="15"/>
          <w:sz w:val="32"/>
          <w:szCs w:val="32"/>
          <w:shd w:val="clear" w:color="auto" w:fill="FFFFFF"/>
        </w:rPr>
        <w:t>占基本</w:t>
      </w:r>
      <w:proofErr w:type="gramEnd"/>
      <w:r w:rsidRPr="00E62DE3">
        <w:rPr>
          <w:rFonts w:ascii="仿宋" w:eastAsia="仿宋" w:hAnsi="仿宋" w:cs="方正仿宋_GBK" w:hint="eastAsia"/>
          <w:spacing w:val="15"/>
          <w:sz w:val="32"/>
          <w:szCs w:val="32"/>
          <w:shd w:val="clear" w:color="auto" w:fill="FFFFFF"/>
        </w:rPr>
        <w:t>支出的</w:t>
      </w:r>
      <w:r w:rsidR="009942F7">
        <w:rPr>
          <w:rFonts w:ascii="仿宋" w:eastAsia="仿宋" w:hAnsi="仿宋" w:cs="方正仿宋_GBK" w:hint="eastAsia"/>
          <w:spacing w:val="15"/>
          <w:sz w:val="32"/>
          <w:szCs w:val="32"/>
          <w:shd w:val="clear" w:color="auto" w:fill="FFFFFF"/>
        </w:rPr>
        <w:t>89.44</w:t>
      </w:r>
      <w:r w:rsidRPr="00E62DE3">
        <w:rPr>
          <w:rFonts w:ascii="仿宋" w:eastAsia="仿宋" w:hAnsi="仿宋" w:cs="方正仿宋_GBK" w:hint="eastAsia"/>
          <w:spacing w:val="15"/>
          <w:sz w:val="32"/>
          <w:szCs w:val="32"/>
          <w:shd w:val="clear" w:color="auto" w:fill="FFFFFF"/>
        </w:rPr>
        <w:t>%;日常公用经费</w:t>
      </w:r>
      <w:r w:rsidR="009942F7">
        <w:rPr>
          <w:rFonts w:ascii="仿宋" w:eastAsia="仿宋" w:hAnsi="仿宋" w:cs="方正仿宋_GBK" w:hint="eastAsia"/>
          <w:spacing w:val="15"/>
          <w:sz w:val="32"/>
          <w:szCs w:val="32"/>
          <w:shd w:val="clear" w:color="auto" w:fill="FFFFFF"/>
        </w:rPr>
        <w:t>618.73</w:t>
      </w:r>
      <w:r w:rsidRPr="00E62DE3">
        <w:rPr>
          <w:rFonts w:ascii="仿宋" w:eastAsia="仿宋" w:hAnsi="仿宋" w:cs="方正仿宋_GBK" w:hint="eastAsia"/>
          <w:spacing w:val="15"/>
          <w:sz w:val="32"/>
          <w:szCs w:val="32"/>
          <w:shd w:val="clear" w:color="auto" w:fill="FFFFFF"/>
        </w:rPr>
        <w:t>万元、</w:t>
      </w:r>
      <w:proofErr w:type="gramStart"/>
      <w:r w:rsidRPr="00E62DE3">
        <w:rPr>
          <w:rFonts w:ascii="仿宋" w:eastAsia="仿宋" w:hAnsi="仿宋" w:cs="方正仿宋_GBK" w:hint="eastAsia"/>
          <w:spacing w:val="15"/>
          <w:sz w:val="32"/>
          <w:szCs w:val="32"/>
          <w:shd w:val="clear" w:color="auto" w:fill="FFFFFF"/>
        </w:rPr>
        <w:t>占基本</w:t>
      </w:r>
      <w:proofErr w:type="gramEnd"/>
      <w:r w:rsidRPr="00E62DE3">
        <w:rPr>
          <w:rFonts w:ascii="仿宋" w:eastAsia="仿宋" w:hAnsi="仿宋" w:cs="方正仿宋_GBK" w:hint="eastAsia"/>
          <w:spacing w:val="15"/>
          <w:sz w:val="32"/>
          <w:szCs w:val="32"/>
          <w:shd w:val="clear" w:color="auto" w:fill="FFFFFF"/>
        </w:rPr>
        <w:t>支出的</w:t>
      </w:r>
      <w:r w:rsidR="009942F7">
        <w:rPr>
          <w:rFonts w:ascii="仿宋" w:eastAsia="仿宋" w:hAnsi="仿宋" w:cs="方正仿宋_GBK" w:hint="eastAsia"/>
          <w:spacing w:val="15"/>
          <w:sz w:val="32"/>
          <w:szCs w:val="32"/>
          <w:shd w:val="clear" w:color="auto" w:fill="FFFFFF"/>
        </w:rPr>
        <w:t>10.56</w:t>
      </w:r>
      <w:r w:rsidRPr="00E62DE3">
        <w:rPr>
          <w:rFonts w:ascii="仿宋" w:eastAsia="仿宋" w:hAnsi="仿宋" w:cs="方正仿宋_GBK" w:hint="eastAsia"/>
          <w:spacing w:val="15"/>
          <w:sz w:val="32"/>
          <w:szCs w:val="32"/>
          <w:shd w:val="clear" w:color="auto" w:fill="FFFFFF"/>
        </w:rPr>
        <w:t>%。</w:t>
      </w:r>
    </w:p>
    <w:p w:rsidR="00C1474B" w:rsidRPr="00FC3466" w:rsidRDefault="00C1474B" w:rsidP="00C1474B">
      <w:pPr>
        <w:spacing w:line="600" w:lineRule="exact"/>
        <w:ind w:firstLineChars="221" w:firstLine="707"/>
        <w:rPr>
          <w:rFonts w:ascii="黑体" w:eastAsia="黑体" w:hAnsi="黑体" w:cs="方正黑体_GBK"/>
          <w:sz w:val="32"/>
          <w:szCs w:val="32"/>
        </w:rPr>
      </w:pPr>
      <w:r w:rsidRPr="00FC3466">
        <w:rPr>
          <w:rFonts w:ascii="黑体" w:eastAsia="黑体" w:hAnsi="黑体" w:cs="方正黑体_GBK" w:hint="eastAsia"/>
          <w:sz w:val="32"/>
          <w:szCs w:val="32"/>
        </w:rPr>
        <w:t>三、本部门预算管理整体情况</w:t>
      </w:r>
    </w:p>
    <w:p w:rsidR="00C1474B" w:rsidRPr="00FC3466" w:rsidRDefault="00C1474B" w:rsidP="00C1474B">
      <w:pPr>
        <w:spacing w:line="600" w:lineRule="exact"/>
        <w:ind w:firstLineChars="221" w:firstLine="710"/>
        <w:rPr>
          <w:rFonts w:ascii="仿宋" w:eastAsia="仿宋" w:hAnsi="仿宋" w:cs="方正仿宋_GBK"/>
          <w:b/>
          <w:spacing w:val="15"/>
          <w:sz w:val="32"/>
          <w:szCs w:val="32"/>
          <w:shd w:val="clear" w:color="auto" w:fill="FFFFFF"/>
        </w:rPr>
      </w:pPr>
      <w:r w:rsidRPr="00FC3466">
        <w:rPr>
          <w:rFonts w:ascii="仿宋" w:eastAsia="仿宋" w:hAnsi="仿宋" w:cs="方正楷体_GBK" w:hint="eastAsia"/>
          <w:b/>
          <w:sz w:val="32"/>
          <w:szCs w:val="32"/>
        </w:rPr>
        <w:t>（一）预算绩效管理情况</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①绩效目标编制情况。我局在编制部门预算时，对每个预算项目均设定了绩效目标并报送市财政局，绩效目标编制与城市管理、行政执法职能职责紧密结合，与年度工作重点紧密结合，与财政资金支出范围、方向、效益和效果紧密结合，完全符合单位职能及年度计划，绩效目标可衡量、可实现，支出范围明确、合理、可行。</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②绩效目标实现程度。我局全面实施预算项目绩效目标管理。编制预算时对申报的项目加强审核、合理保障，所有项目必须有明细的资金测算。在预算执行过程中加强了绩效运行监控，对执行中存在偏差的项目进行了原因分析和及时整改，确保达到年初绩效目标。</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③绩效监控情况。在预算执行时严格按照设定的绩效目标实施项目，并在事前、事中、事后对绩效目标的</w:t>
      </w:r>
      <w:r w:rsidRPr="00E62DE3">
        <w:rPr>
          <w:rFonts w:ascii="仿宋" w:eastAsia="仿宋" w:hAnsi="仿宋" w:cs="方正仿宋_GBK" w:hint="eastAsia"/>
          <w:spacing w:val="15"/>
          <w:sz w:val="32"/>
          <w:szCs w:val="32"/>
          <w:shd w:val="clear" w:color="auto" w:fill="FFFFFF"/>
        </w:rPr>
        <w:lastRenderedPageBreak/>
        <w:t>完成情况进行了监督和考核。</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④预算执行情况。财务审计科负责对我局预算执行情况进行监督。在预算执行过程中，我局对金额较大的重点预算项目建立跟踪检查机制。在项目实施过程中及时对项目的进展情况、资金使用情况、项目的实施进度等与项目有关的情况进行实时监控，及时向有关单位领导反馈意见建议。完善项目资金使用审批手续，坚持先审批、后使用，确保专项专用。坚持按月、季度向市财政局报送相应用款计划，经审核通过后严格执行，每季度预算执行进度达到量化指标。对年度绩效目标进行季度梳理和年度分析，及时上报相关报表；对专项预算提前细化，分科目上报，做到收支平衡。</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⑤预算调整情况。我局按照财经管理有关规定和要求，加强对预算执行的管理，及时跟进各项目资金使用情况。对于执行进度缓慢或无法执行的项目预算按规定程序及时进行调整。</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⑥绩效目标和绩效自评公开情况。我局及时公开了绩效目标和绩效自评报告。</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⑦涉及财政重点评价反馈问题整改情况。局党委和局领导高度重视绩效运行监控发现问题的整改工作，按照市财政局通知要求，局主要领导亲自安排，迅速成立了工作领导小组，并组织相关人员学习领会文件精神，要求相关责任部门落实整改责任，制定整改措施，确保</w:t>
      </w:r>
      <w:r w:rsidRPr="00E62DE3">
        <w:rPr>
          <w:rFonts w:ascii="仿宋" w:eastAsia="仿宋" w:hAnsi="仿宋" w:cs="方正仿宋_GBK" w:hint="eastAsia"/>
          <w:spacing w:val="15"/>
          <w:sz w:val="32"/>
          <w:szCs w:val="32"/>
          <w:shd w:val="clear" w:color="auto" w:fill="FFFFFF"/>
        </w:rPr>
        <w:lastRenderedPageBreak/>
        <w:t>问题整改见效。截至2021年末，财政重点评价反馈问题均已整改到位。</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通过开展绩效评价工作，促进了我们从整体上提升预算绩效管理工作水平，强化了部门支出责任，规范了资金管理行为，提高财政资金使用效益，保障部门更好地履行职责、服务我市经济社会发展。</w:t>
      </w:r>
    </w:p>
    <w:p w:rsidR="00C1474B" w:rsidRPr="00FC3466" w:rsidRDefault="00C1474B" w:rsidP="00C1474B">
      <w:pPr>
        <w:spacing w:line="600" w:lineRule="exact"/>
        <w:ind w:firstLineChars="200" w:firstLine="643"/>
        <w:rPr>
          <w:rFonts w:ascii="仿宋" w:eastAsia="仿宋" w:hAnsi="仿宋" w:cs="方正仿宋_GBK"/>
          <w:b/>
          <w:sz w:val="32"/>
          <w:szCs w:val="32"/>
        </w:rPr>
      </w:pPr>
      <w:r w:rsidRPr="00FC3466">
        <w:rPr>
          <w:rFonts w:ascii="仿宋" w:eastAsia="仿宋" w:hAnsi="仿宋" w:cs="方正楷体_GBK" w:hint="eastAsia"/>
          <w:b/>
          <w:sz w:val="32"/>
          <w:szCs w:val="32"/>
        </w:rPr>
        <w:t>（二）绩效结果应用情况。</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①绩效自评结果应用情况。我局坚持以结果应用为导向，不断深化绩效监控结果应用，切实发挥预算绩效管理和资金使用效益的根本作用。对预算项目和资金的执行实行全程监控，根据项目绩效自评情况，采取改进管理、预算调整、结余处理、项目调整等方式，确保绩效目标全面完成。</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②绩效自行监控结果应用情况。根据绩效自行监控结果，对部门项目支出的效益性进行客观公正的分析、评判，对于存在预算执行进度缓慢、项目实施与绩效目标偏离或管理漏洞等情况，及时纠偏整改，对绩效目标、项目内容等进行整改、优化、调整，实现资金使用中的跟踪问效，并将评价结果充分运用到2022年部门预算编制工作中。</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③涉及财政重点评价的结果应用情况。我局高度重视财政重点绩效监控发现问题的整改工作，制定整改措施，确保问题整改见效，并将问题整改落实情况作为改</w:t>
      </w:r>
      <w:r w:rsidRPr="00E62DE3">
        <w:rPr>
          <w:rFonts w:ascii="仿宋" w:eastAsia="仿宋" w:hAnsi="仿宋" w:cs="方正仿宋_GBK" w:hint="eastAsia"/>
          <w:spacing w:val="15"/>
          <w:sz w:val="32"/>
          <w:szCs w:val="32"/>
          <w:shd w:val="clear" w:color="auto" w:fill="FFFFFF"/>
        </w:rPr>
        <w:lastRenderedPageBreak/>
        <w:t>进预算绩效管理和安排2022年度预算的重要依据。</w:t>
      </w:r>
    </w:p>
    <w:p w:rsidR="00C1474B" w:rsidRPr="00FC3466" w:rsidRDefault="00C1474B" w:rsidP="00C1474B">
      <w:pPr>
        <w:spacing w:line="600" w:lineRule="exact"/>
        <w:ind w:firstLineChars="221" w:firstLine="707"/>
        <w:rPr>
          <w:rFonts w:ascii="黑体" w:eastAsia="黑体" w:hAnsi="黑体" w:cs="方正仿宋_GBK"/>
          <w:sz w:val="32"/>
          <w:szCs w:val="32"/>
        </w:rPr>
      </w:pPr>
      <w:r w:rsidRPr="00FC3466">
        <w:rPr>
          <w:rFonts w:ascii="黑体" w:eastAsia="黑体" w:hAnsi="黑体" w:cs="方正黑体_GBK" w:hint="eastAsia"/>
          <w:sz w:val="32"/>
          <w:szCs w:val="32"/>
        </w:rPr>
        <w:t>四、自评结论及存在问题和改进措施</w:t>
      </w:r>
    </w:p>
    <w:p w:rsidR="00C1474B" w:rsidRPr="00FC3466" w:rsidRDefault="00C1474B" w:rsidP="00C1474B">
      <w:pPr>
        <w:spacing w:line="600" w:lineRule="exact"/>
        <w:ind w:firstLineChars="200" w:firstLine="643"/>
        <w:rPr>
          <w:rFonts w:ascii="仿宋" w:eastAsia="仿宋" w:hAnsi="仿宋" w:cs="方正楷体_GBK"/>
          <w:b/>
          <w:sz w:val="32"/>
          <w:szCs w:val="32"/>
        </w:rPr>
      </w:pPr>
      <w:r w:rsidRPr="00FC3466">
        <w:rPr>
          <w:rFonts w:ascii="仿宋" w:eastAsia="仿宋" w:hAnsi="仿宋" w:cs="方正楷体_GBK" w:hint="eastAsia"/>
          <w:b/>
          <w:sz w:val="32"/>
          <w:szCs w:val="32"/>
        </w:rPr>
        <w:t>（一）自评结论</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我局严格执行预算编制有关规定，聚焦党中央、国务院大政方针和省委、省政府重大决策部署，以及市委、市政府中心工作及我局主责主业，从紧从实编制年度预算，预算编制质量进一步提高。强化预算执行管理，加强“三公”经费控制，严格按预算进度支付费用，节约行政成本。项目实施过程中，严格执行有关规定和制度标准，保质保量推进专项工作落实。项目资金管理实行专项管理、从严审批，真正做到专款专用，确保项目资金有效利用。总体来说，我局项目审核严格、管理到位、完成及时，社会效果良好。</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根据</w:t>
      </w:r>
      <w:proofErr w:type="gramStart"/>
      <w:r w:rsidRPr="00E62DE3">
        <w:rPr>
          <w:rFonts w:ascii="仿宋" w:eastAsia="仿宋" w:hAnsi="仿宋" w:cs="方正仿宋_GBK" w:hint="eastAsia"/>
          <w:spacing w:val="15"/>
          <w:sz w:val="32"/>
          <w:szCs w:val="32"/>
          <w:shd w:val="clear" w:color="auto" w:fill="FFFFFF"/>
        </w:rPr>
        <w:t>相关台</w:t>
      </w:r>
      <w:proofErr w:type="gramEnd"/>
      <w:r w:rsidRPr="00E62DE3">
        <w:rPr>
          <w:rFonts w:ascii="仿宋" w:eastAsia="仿宋" w:hAnsi="仿宋" w:cs="方正仿宋_GBK" w:hint="eastAsia"/>
          <w:spacing w:val="15"/>
          <w:sz w:val="32"/>
          <w:szCs w:val="32"/>
          <w:shd w:val="clear" w:color="auto" w:fill="FFFFFF"/>
        </w:rPr>
        <w:t>账资料，结合《德阳市2021年度市级部门（单位）整体支出绩效评价体系及自评表》，对2021年度主要工作效益进行量化评分，自评得分为100分，自评等级为“优”。具体如下：基本运行绩效40分，重点履职绩效50分，满意度10分。</w:t>
      </w:r>
    </w:p>
    <w:p w:rsidR="00C1474B" w:rsidRPr="00FC3466" w:rsidRDefault="00C1474B" w:rsidP="00C1474B">
      <w:pPr>
        <w:spacing w:line="600" w:lineRule="exact"/>
        <w:ind w:firstLineChars="200" w:firstLine="643"/>
        <w:rPr>
          <w:rFonts w:ascii="仿宋" w:eastAsia="仿宋" w:hAnsi="仿宋" w:cs="方正仿宋_GBK"/>
          <w:b/>
        </w:rPr>
      </w:pPr>
      <w:r w:rsidRPr="00FC3466">
        <w:rPr>
          <w:rFonts w:ascii="仿宋" w:eastAsia="仿宋" w:hAnsi="仿宋" w:cs="方正楷体_GBK" w:hint="eastAsia"/>
          <w:b/>
          <w:sz w:val="32"/>
          <w:szCs w:val="32"/>
        </w:rPr>
        <w:t>（二）存在问题</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一是预算编制测算还不够精确，编制依据和测算深度不够，实际执行与项目预算绩效存在差距。</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二是预算执行进度不均衡，主要是因为①部分采购项目执行采购程序，待采购程序完成后才能支付；②我</w:t>
      </w:r>
      <w:r w:rsidRPr="00E62DE3">
        <w:rPr>
          <w:rFonts w:ascii="仿宋" w:eastAsia="仿宋" w:hAnsi="仿宋" w:cs="方正仿宋_GBK" w:hint="eastAsia"/>
          <w:spacing w:val="15"/>
          <w:sz w:val="32"/>
          <w:szCs w:val="32"/>
          <w:shd w:val="clear" w:color="auto" w:fill="FFFFFF"/>
        </w:rPr>
        <w:lastRenderedPageBreak/>
        <w:t>局的工作性质导致项目较多，零星工程的财政评审时间较长，影响了支付进度；③部分建设施工项目要根据施工进度进行支付，不能按时间进度支付。</w:t>
      </w:r>
      <w:proofErr w:type="gramStart"/>
      <w:r w:rsidRPr="00E62DE3">
        <w:rPr>
          <w:rFonts w:ascii="仿宋" w:eastAsia="仿宋" w:hAnsi="仿宋" w:cs="方正仿宋_GBK" w:hint="eastAsia"/>
          <w:spacing w:val="15"/>
          <w:sz w:val="32"/>
          <w:szCs w:val="32"/>
          <w:shd w:val="clear" w:color="auto" w:fill="FFFFFF"/>
        </w:rPr>
        <w:t>故项目</w:t>
      </w:r>
      <w:proofErr w:type="gramEnd"/>
      <w:r w:rsidRPr="00E62DE3">
        <w:rPr>
          <w:rFonts w:ascii="仿宋" w:eastAsia="仿宋" w:hAnsi="仿宋" w:cs="方正仿宋_GBK" w:hint="eastAsia"/>
          <w:spacing w:val="15"/>
          <w:sz w:val="32"/>
          <w:szCs w:val="32"/>
          <w:shd w:val="clear" w:color="auto" w:fill="FFFFFF"/>
        </w:rPr>
        <w:t>资金存在年底相对集中支付的现象。</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三是预算绩效管理工作时间紧、任务重、专业性较强，而牵头负责此项工作的职能部门日常工作业务量大，此项工作仍在探索中开展、学习和改进。</w:t>
      </w:r>
    </w:p>
    <w:p w:rsidR="00C1474B" w:rsidRPr="00FC3466" w:rsidRDefault="00C1474B" w:rsidP="00C1474B">
      <w:pPr>
        <w:spacing w:line="600" w:lineRule="exact"/>
        <w:ind w:firstLineChars="221" w:firstLine="710"/>
        <w:rPr>
          <w:rFonts w:ascii="仿宋" w:eastAsia="仿宋" w:hAnsi="仿宋" w:cs="方正仿宋_GBK"/>
          <w:b/>
          <w:sz w:val="24"/>
        </w:rPr>
      </w:pPr>
      <w:r w:rsidRPr="00FC3466">
        <w:rPr>
          <w:rFonts w:ascii="仿宋" w:eastAsia="仿宋" w:hAnsi="仿宋" w:cs="方正楷体_GBK" w:hint="eastAsia"/>
          <w:b/>
          <w:sz w:val="32"/>
          <w:szCs w:val="32"/>
        </w:rPr>
        <w:t>（三）改进措施</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1.进一步加强业务培训。采取走出去、请进来等方式，适时组织全局相关人员参加业务培训，提高绩效管理水平。</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2.进—</w:t>
      </w:r>
      <w:proofErr w:type="gramStart"/>
      <w:r w:rsidRPr="00E62DE3">
        <w:rPr>
          <w:rFonts w:ascii="仿宋" w:eastAsia="仿宋" w:hAnsi="仿宋" w:cs="方正仿宋_GBK" w:hint="eastAsia"/>
          <w:spacing w:val="15"/>
          <w:sz w:val="32"/>
          <w:szCs w:val="32"/>
          <w:shd w:val="clear" w:color="auto" w:fill="FFFFFF"/>
        </w:rPr>
        <w:t>步严格</w:t>
      </w:r>
      <w:proofErr w:type="gramEnd"/>
      <w:r w:rsidRPr="00E62DE3">
        <w:rPr>
          <w:rFonts w:ascii="仿宋" w:eastAsia="仿宋" w:hAnsi="仿宋" w:cs="方正仿宋_GBK" w:hint="eastAsia"/>
          <w:spacing w:val="15"/>
          <w:sz w:val="32"/>
          <w:szCs w:val="32"/>
          <w:shd w:val="clear" w:color="auto" w:fill="FFFFFF"/>
        </w:rPr>
        <w:t>执行预算进度。定期做好支出财务分析，及时对预算执行情况进行通报和预警。加强项目实施进度的跟踪，确保项目绩效目标的完成，发挥资金的使用效益，提高预算完成率。</w:t>
      </w:r>
    </w:p>
    <w:p w:rsidR="00C1474B" w:rsidRPr="00E62DE3" w:rsidRDefault="00C1474B" w:rsidP="00C1474B">
      <w:pPr>
        <w:spacing w:line="600" w:lineRule="exact"/>
        <w:ind w:firstLineChars="200" w:firstLine="700"/>
        <w:rPr>
          <w:rFonts w:ascii="仿宋" w:eastAsia="仿宋" w:hAnsi="仿宋" w:cs="方正仿宋_GBK"/>
          <w:spacing w:val="15"/>
          <w:sz w:val="32"/>
          <w:szCs w:val="32"/>
          <w:shd w:val="clear" w:color="auto" w:fill="FFFFFF"/>
        </w:rPr>
      </w:pPr>
      <w:r w:rsidRPr="00E62DE3">
        <w:rPr>
          <w:rFonts w:ascii="仿宋" w:eastAsia="仿宋" w:hAnsi="仿宋" w:cs="方正仿宋_GBK" w:hint="eastAsia"/>
          <w:spacing w:val="15"/>
          <w:sz w:val="32"/>
          <w:szCs w:val="32"/>
          <w:shd w:val="clear" w:color="auto" w:fill="FFFFFF"/>
        </w:rPr>
        <w:t>3.进一步科学编制项目资金预算。结合单位职能职责，按照“保民生、保基本、保运转”原则，科学合理编制本单位资金预算，杜绝预算编制粗放现象的发生，进一步提高预算编制的科学性、合理性、严谨性和可控性。</w:t>
      </w:r>
    </w:p>
    <w:p w:rsidR="00C1474B" w:rsidRPr="00C1474B" w:rsidRDefault="00C1474B" w:rsidP="00C1474B">
      <w:pPr>
        <w:pStyle w:val="2"/>
        <w:ind w:leftChars="0" w:firstLine="0"/>
      </w:pPr>
    </w:p>
    <w:p w:rsidR="00CD0D80" w:rsidRPr="00CD0D80" w:rsidRDefault="00CD0D80" w:rsidP="00CD0D80"/>
    <w:p w:rsidR="00593F3F" w:rsidRPr="00593F3F" w:rsidRDefault="00593F3F" w:rsidP="00593F3F">
      <w:pPr>
        <w:pStyle w:val="ad"/>
        <w:spacing w:line="600" w:lineRule="exact"/>
        <w:rPr>
          <w:rFonts w:ascii="楷体_GB2312" w:eastAsia="楷体_GB2312"/>
          <w:b/>
          <w:sz w:val="32"/>
          <w:szCs w:val="32"/>
          <w:lang w:val="zh-CN"/>
        </w:rPr>
      </w:pPr>
      <w:bookmarkStart w:id="48" w:name="_Toc15396618"/>
      <w:bookmarkStart w:id="49" w:name="_Toc20315"/>
      <w:bookmarkEnd w:id="1"/>
      <w:bookmarkEnd w:id="2"/>
    </w:p>
    <w:p w:rsidR="000A5238" w:rsidRPr="00593F3F" w:rsidRDefault="000A5238" w:rsidP="00ED09F1">
      <w:pPr>
        <w:widowControl/>
        <w:spacing w:line="600" w:lineRule="exact"/>
        <w:jc w:val="center"/>
        <w:outlineLvl w:val="0"/>
        <w:rPr>
          <w:rFonts w:ascii="黑体" w:eastAsia="黑体" w:hAnsi="黑体"/>
          <w:color w:val="000000"/>
          <w:sz w:val="32"/>
          <w:szCs w:val="32"/>
        </w:rPr>
      </w:pPr>
    </w:p>
    <w:p w:rsidR="000A5238" w:rsidRDefault="000A5238" w:rsidP="0091707C">
      <w:pPr>
        <w:widowControl/>
        <w:spacing w:line="600" w:lineRule="exact"/>
        <w:outlineLvl w:val="0"/>
        <w:rPr>
          <w:rFonts w:ascii="黑体" w:eastAsia="黑体" w:hAnsi="黑体"/>
          <w:color w:val="000000"/>
          <w:sz w:val="44"/>
          <w:szCs w:val="44"/>
        </w:rPr>
      </w:pPr>
    </w:p>
    <w:p w:rsidR="00ED09F1" w:rsidRDefault="00ED09F1" w:rsidP="00ED09F1">
      <w:pPr>
        <w:widowControl/>
        <w:spacing w:line="600" w:lineRule="exact"/>
        <w:jc w:val="center"/>
        <w:outlineLvl w:val="0"/>
        <w:rPr>
          <w:rStyle w:val="1Char"/>
          <w:rFonts w:ascii="黑体" w:eastAsia="黑体" w:hAnsi="黑体"/>
          <w:b w:val="0"/>
        </w:rPr>
      </w:pPr>
      <w:r>
        <w:rPr>
          <w:rFonts w:ascii="黑体" w:eastAsia="黑体" w:hAnsi="黑体" w:hint="eastAsia"/>
          <w:color w:val="000000"/>
          <w:sz w:val="44"/>
          <w:szCs w:val="44"/>
        </w:rPr>
        <w:t>第</w:t>
      </w:r>
      <w:r>
        <w:rPr>
          <w:rStyle w:val="1Char"/>
          <w:rFonts w:ascii="黑体" w:eastAsia="黑体" w:hAnsi="黑体" w:hint="eastAsia"/>
          <w:b w:val="0"/>
        </w:rPr>
        <w:t>五部分</w:t>
      </w:r>
      <w:r w:rsidR="000A5238">
        <w:rPr>
          <w:rStyle w:val="1Char"/>
          <w:rFonts w:ascii="黑体" w:eastAsia="黑体" w:hAnsi="黑体" w:hint="eastAsia"/>
          <w:b w:val="0"/>
        </w:rPr>
        <w:t xml:space="preserve">   </w:t>
      </w:r>
      <w:r>
        <w:rPr>
          <w:rStyle w:val="1Char"/>
          <w:rFonts w:ascii="黑体" w:eastAsia="黑体" w:hAnsi="黑体" w:hint="eastAsia"/>
          <w:b w:val="0"/>
        </w:rPr>
        <w:t>附表</w:t>
      </w:r>
      <w:bookmarkEnd w:id="48"/>
      <w:bookmarkEnd w:id="49"/>
    </w:p>
    <w:p w:rsidR="00ED09F1" w:rsidRDefault="00ED09F1" w:rsidP="00ED09F1">
      <w:pPr>
        <w:spacing w:line="600" w:lineRule="exact"/>
        <w:jc w:val="center"/>
        <w:rPr>
          <w:rFonts w:ascii="仿宋" w:eastAsia="仿宋" w:hAnsi="仿宋"/>
          <w:b/>
          <w:color w:val="000000"/>
          <w:sz w:val="44"/>
          <w:szCs w:val="44"/>
        </w:rPr>
      </w:pPr>
    </w:p>
    <w:p w:rsidR="00ED09F1" w:rsidRPr="00065469" w:rsidRDefault="00ED09F1" w:rsidP="00ED09F1">
      <w:pPr>
        <w:pStyle w:val="20"/>
        <w:spacing w:before="0" w:after="0" w:line="600" w:lineRule="exact"/>
        <w:rPr>
          <w:rFonts w:ascii="仿宋_GB2312" w:eastAsia="仿宋_GB2312" w:hAnsi="仿宋"/>
          <w:color w:val="000000"/>
        </w:rPr>
      </w:pPr>
      <w:bookmarkStart w:id="50" w:name="_Toc15396619"/>
      <w:bookmarkStart w:id="51" w:name="_Toc22732"/>
      <w:r w:rsidRPr="00065469">
        <w:rPr>
          <w:rFonts w:ascii="仿宋_GB2312" w:eastAsia="仿宋_GB2312" w:hAnsi="仿宋" w:hint="eastAsia"/>
          <w:b w:val="0"/>
          <w:color w:val="000000"/>
        </w:rPr>
        <w:t>一、收</w:t>
      </w:r>
      <w:r w:rsidRPr="00065469">
        <w:rPr>
          <w:rStyle w:val="2Char"/>
          <w:rFonts w:ascii="仿宋_GB2312" w:eastAsia="仿宋_GB2312" w:hAnsi="仿宋" w:hint="eastAsia"/>
        </w:rPr>
        <w:t>入支出决算总表</w:t>
      </w:r>
      <w:bookmarkEnd w:id="50"/>
      <w:bookmarkEnd w:id="51"/>
    </w:p>
    <w:p w:rsidR="00ED09F1" w:rsidRPr="00065469" w:rsidRDefault="00ED09F1" w:rsidP="00ED09F1">
      <w:pPr>
        <w:pStyle w:val="20"/>
        <w:spacing w:before="0" w:after="0" w:line="600" w:lineRule="exact"/>
        <w:rPr>
          <w:rFonts w:ascii="仿宋_GB2312" w:eastAsia="仿宋_GB2312" w:hAnsi="仿宋"/>
          <w:color w:val="000000"/>
        </w:rPr>
      </w:pPr>
      <w:bookmarkStart w:id="52" w:name="_Toc15396620"/>
      <w:bookmarkStart w:id="53" w:name="_Toc18237"/>
      <w:r w:rsidRPr="00065469">
        <w:rPr>
          <w:rFonts w:ascii="仿宋_GB2312" w:eastAsia="仿宋_GB2312" w:hAnsi="仿宋" w:hint="eastAsia"/>
          <w:b w:val="0"/>
          <w:color w:val="000000"/>
        </w:rPr>
        <w:t>二、收</w:t>
      </w:r>
      <w:r w:rsidRPr="00065469">
        <w:rPr>
          <w:rStyle w:val="2Char"/>
          <w:rFonts w:ascii="仿宋_GB2312" w:eastAsia="仿宋_GB2312" w:hAnsi="仿宋" w:hint="eastAsia"/>
        </w:rPr>
        <w:t>入决算表</w:t>
      </w:r>
      <w:bookmarkEnd w:id="52"/>
      <w:bookmarkEnd w:id="53"/>
    </w:p>
    <w:p w:rsidR="00ED09F1" w:rsidRPr="00065469" w:rsidRDefault="00ED09F1" w:rsidP="00ED09F1">
      <w:pPr>
        <w:pStyle w:val="20"/>
        <w:spacing w:before="0" w:after="0" w:line="600" w:lineRule="exact"/>
        <w:rPr>
          <w:rFonts w:ascii="仿宋_GB2312" w:eastAsia="仿宋_GB2312" w:hAnsi="仿宋"/>
          <w:color w:val="000000"/>
        </w:rPr>
      </w:pPr>
      <w:bookmarkStart w:id="54" w:name="_Toc15396621"/>
      <w:bookmarkStart w:id="55" w:name="_Toc26893"/>
      <w:r w:rsidRPr="00065469">
        <w:rPr>
          <w:rStyle w:val="2Char"/>
          <w:rFonts w:ascii="仿宋_GB2312" w:eastAsia="仿宋_GB2312" w:hAnsi="仿宋" w:hint="eastAsia"/>
        </w:rPr>
        <w:t>三、</w:t>
      </w:r>
      <w:r w:rsidRPr="00065469">
        <w:rPr>
          <w:rFonts w:ascii="仿宋_GB2312" w:eastAsia="仿宋_GB2312" w:hAnsi="仿宋" w:hint="eastAsia"/>
          <w:b w:val="0"/>
          <w:color w:val="000000"/>
        </w:rPr>
        <w:t>支</w:t>
      </w:r>
      <w:r w:rsidRPr="00065469">
        <w:rPr>
          <w:rStyle w:val="2Char"/>
          <w:rFonts w:ascii="仿宋_GB2312" w:eastAsia="仿宋_GB2312" w:hAnsi="仿宋" w:hint="eastAsia"/>
        </w:rPr>
        <w:t>出决算表</w:t>
      </w:r>
      <w:bookmarkEnd w:id="54"/>
      <w:bookmarkEnd w:id="55"/>
    </w:p>
    <w:p w:rsidR="00ED09F1" w:rsidRPr="00065469" w:rsidRDefault="00ED09F1" w:rsidP="00ED09F1">
      <w:pPr>
        <w:pStyle w:val="20"/>
        <w:spacing w:before="0" w:after="0" w:line="600" w:lineRule="exact"/>
        <w:rPr>
          <w:rFonts w:ascii="仿宋_GB2312" w:eastAsia="仿宋_GB2312" w:hAnsi="仿宋"/>
          <w:b w:val="0"/>
          <w:color w:val="000000"/>
        </w:rPr>
      </w:pPr>
      <w:bookmarkStart w:id="56" w:name="_Toc15396622"/>
      <w:bookmarkStart w:id="57" w:name="_Toc21478"/>
      <w:r w:rsidRPr="00065469">
        <w:rPr>
          <w:rStyle w:val="2Char"/>
          <w:rFonts w:ascii="仿宋_GB2312" w:eastAsia="仿宋_GB2312" w:hAnsi="仿宋" w:hint="eastAsia"/>
        </w:rPr>
        <w:t>四、</w:t>
      </w:r>
      <w:r w:rsidRPr="00065469">
        <w:rPr>
          <w:rFonts w:ascii="仿宋_GB2312" w:eastAsia="仿宋_GB2312" w:hAnsi="仿宋" w:hint="eastAsia"/>
          <w:b w:val="0"/>
          <w:color w:val="000000"/>
        </w:rPr>
        <w:t>财</w:t>
      </w:r>
      <w:r w:rsidRPr="00065469">
        <w:rPr>
          <w:rStyle w:val="2Char"/>
          <w:rFonts w:ascii="仿宋_GB2312" w:eastAsia="仿宋_GB2312" w:hAnsi="仿宋" w:hint="eastAsia"/>
        </w:rPr>
        <w:t>政拨款收入支出决算总表</w:t>
      </w:r>
      <w:bookmarkEnd w:id="56"/>
      <w:bookmarkEnd w:id="57"/>
    </w:p>
    <w:p w:rsidR="00ED09F1" w:rsidRPr="00065469" w:rsidRDefault="00ED09F1" w:rsidP="00ED09F1">
      <w:pPr>
        <w:pStyle w:val="20"/>
        <w:spacing w:before="0" w:after="0" w:line="600" w:lineRule="exact"/>
        <w:rPr>
          <w:rStyle w:val="2Char"/>
          <w:rFonts w:ascii="仿宋_GB2312" w:eastAsia="仿宋_GB2312" w:hAnsi="仿宋"/>
        </w:rPr>
      </w:pPr>
      <w:bookmarkStart w:id="58" w:name="_Toc15396623"/>
      <w:bookmarkStart w:id="59" w:name="_Toc7023"/>
      <w:r w:rsidRPr="00065469">
        <w:rPr>
          <w:rStyle w:val="2Char"/>
          <w:rFonts w:ascii="仿宋_GB2312" w:eastAsia="仿宋_GB2312" w:hAnsi="仿宋" w:hint="eastAsia"/>
        </w:rPr>
        <w:t>五、</w:t>
      </w:r>
      <w:r w:rsidRPr="00065469">
        <w:rPr>
          <w:rFonts w:ascii="仿宋_GB2312" w:eastAsia="仿宋_GB2312" w:hAnsi="仿宋" w:hint="eastAsia"/>
          <w:b w:val="0"/>
          <w:color w:val="000000"/>
        </w:rPr>
        <w:t>财</w:t>
      </w:r>
      <w:r w:rsidRPr="00065469">
        <w:rPr>
          <w:rStyle w:val="2Char"/>
          <w:rFonts w:ascii="仿宋_GB2312" w:eastAsia="仿宋_GB2312" w:hAnsi="仿宋" w:hint="eastAsia"/>
        </w:rPr>
        <w:t>政拨款支出决算明细表</w:t>
      </w:r>
      <w:bookmarkStart w:id="60" w:name="_Toc15396624"/>
      <w:bookmarkEnd w:id="58"/>
      <w:bookmarkEnd w:id="59"/>
    </w:p>
    <w:p w:rsidR="00ED09F1" w:rsidRPr="00065469" w:rsidRDefault="00ED09F1" w:rsidP="00ED09F1">
      <w:pPr>
        <w:pStyle w:val="20"/>
        <w:spacing w:before="0" w:after="0" w:line="600" w:lineRule="exact"/>
        <w:rPr>
          <w:rFonts w:ascii="仿宋_GB2312" w:eastAsia="仿宋_GB2312" w:hAnsi="仿宋"/>
          <w:color w:val="000000"/>
        </w:rPr>
      </w:pPr>
      <w:bookmarkStart w:id="61" w:name="_Toc458"/>
      <w:r w:rsidRPr="00065469">
        <w:rPr>
          <w:rStyle w:val="2Char"/>
          <w:rFonts w:ascii="仿宋_GB2312" w:eastAsia="仿宋_GB2312" w:hAnsi="仿宋" w:hint="eastAsia"/>
        </w:rPr>
        <w:t>六、</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般公共预算财政拨款支出决算表</w:t>
      </w:r>
      <w:bookmarkEnd w:id="60"/>
      <w:bookmarkEnd w:id="61"/>
    </w:p>
    <w:p w:rsidR="00ED09F1" w:rsidRPr="00065469" w:rsidRDefault="00ED09F1" w:rsidP="00ED09F1">
      <w:pPr>
        <w:pStyle w:val="20"/>
        <w:spacing w:before="0" w:after="0" w:line="600" w:lineRule="exact"/>
        <w:rPr>
          <w:rFonts w:ascii="仿宋_GB2312" w:eastAsia="仿宋_GB2312" w:hAnsi="仿宋"/>
          <w:color w:val="000000"/>
        </w:rPr>
      </w:pPr>
      <w:bookmarkStart w:id="62" w:name="_Toc15396625"/>
      <w:bookmarkStart w:id="63" w:name="_Toc22600"/>
      <w:r w:rsidRPr="00065469">
        <w:rPr>
          <w:rStyle w:val="2Char"/>
          <w:rFonts w:ascii="仿宋_GB2312" w:eastAsia="仿宋_GB2312" w:hAnsi="仿宋" w:hint="eastAsia"/>
        </w:rPr>
        <w:t>七、</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般公共预算财政拨款支出决算明细表</w:t>
      </w:r>
      <w:bookmarkEnd w:id="62"/>
      <w:bookmarkEnd w:id="63"/>
    </w:p>
    <w:p w:rsidR="00ED09F1" w:rsidRPr="00065469" w:rsidRDefault="00ED09F1" w:rsidP="00ED09F1">
      <w:pPr>
        <w:pStyle w:val="20"/>
        <w:spacing w:before="0" w:after="0" w:line="600" w:lineRule="exact"/>
        <w:rPr>
          <w:rFonts w:ascii="仿宋_GB2312" w:eastAsia="仿宋_GB2312" w:hAnsi="仿宋"/>
          <w:color w:val="000000"/>
        </w:rPr>
      </w:pPr>
      <w:bookmarkStart w:id="64" w:name="_Toc15396626"/>
      <w:bookmarkStart w:id="65" w:name="_Toc14031"/>
      <w:r w:rsidRPr="00065469">
        <w:rPr>
          <w:rStyle w:val="2Char"/>
          <w:rFonts w:ascii="仿宋_GB2312" w:eastAsia="仿宋_GB2312" w:hAnsi="仿宋" w:hint="eastAsia"/>
        </w:rPr>
        <w:t>八、</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般公共预算财政拨款基本支出决算表</w:t>
      </w:r>
      <w:bookmarkEnd w:id="64"/>
      <w:bookmarkEnd w:id="65"/>
    </w:p>
    <w:p w:rsidR="00ED09F1" w:rsidRPr="00065469" w:rsidRDefault="00ED09F1" w:rsidP="00ED09F1">
      <w:pPr>
        <w:pStyle w:val="20"/>
        <w:spacing w:before="0" w:after="0" w:line="600" w:lineRule="exact"/>
        <w:rPr>
          <w:rFonts w:ascii="仿宋_GB2312" w:eastAsia="仿宋_GB2312" w:hAnsi="仿宋"/>
          <w:color w:val="000000"/>
        </w:rPr>
      </w:pPr>
      <w:bookmarkStart w:id="66" w:name="_Toc15396627"/>
      <w:bookmarkStart w:id="67" w:name="_Toc14633"/>
      <w:r w:rsidRPr="00065469">
        <w:rPr>
          <w:rStyle w:val="2Char"/>
          <w:rFonts w:ascii="仿宋_GB2312" w:eastAsia="仿宋_GB2312" w:hAnsi="仿宋" w:hint="eastAsia"/>
        </w:rPr>
        <w:t>九、</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般公共预算财政拨款项目支出决算表</w:t>
      </w:r>
      <w:bookmarkEnd w:id="66"/>
      <w:bookmarkEnd w:id="67"/>
    </w:p>
    <w:p w:rsidR="00ED09F1" w:rsidRPr="00065469" w:rsidRDefault="00ED09F1" w:rsidP="00ED09F1">
      <w:pPr>
        <w:pStyle w:val="20"/>
        <w:spacing w:before="0" w:after="0" w:line="600" w:lineRule="exact"/>
        <w:rPr>
          <w:rFonts w:ascii="仿宋_GB2312" w:eastAsia="仿宋_GB2312" w:hAnsi="仿宋"/>
          <w:color w:val="000000"/>
        </w:rPr>
      </w:pPr>
      <w:bookmarkStart w:id="68" w:name="_Toc15396628"/>
      <w:bookmarkStart w:id="69" w:name="_Toc19582"/>
      <w:r w:rsidRPr="00065469">
        <w:rPr>
          <w:rStyle w:val="2Char"/>
          <w:rFonts w:ascii="仿宋_GB2312" w:eastAsia="仿宋_GB2312" w:hAnsi="仿宋" w:hint="eastAsia"/>
        </w:rPr>
        <w:t>十、</w:t>
      </w:r>
      <w:r w:rsidRPr="00065469">
        <w:rPr>
          <w:rFonts w:ascii="仿宋_GB2312" w:eastAsia="仿宋_GB2312" w:hAnsi="仿宋" w:hint="eastAsia"/>
          <w:b w:val="0"/>
          <w:color w:val="000000"/>
        </w:rPr>
        <w:t>一</w:t>
      </w:r>
      <w:r w:rsidRPr="00065469">
        <w:rPr>
          <w:rStyle w:val="2Char"/>
          <w:rFonts w:ascii="仿宋_GB2312" w:eastAsia="仿宋_GB2312" w:hAnsi="仿宋" w:hint="eastAsia"/>
        </w:rPr>
        <w:t>般公共预算财政拨款“三公”经费支出决算表</w:t>
      </w:r>
      <w:bookmarkEnd w:id="68"/>
      <w:bookmarkEnd w:id="69"/>
    </w:p>
    <w:p w:rsidR="00ED09F1" w:rsidRPr="00065469" w:rsidRDefault="00ED09F1" w:rsidP="00ED09F1">
      <w:pPr>
        <w:pStyle w:val="20"/>
        <w:spacing w:before="0" w:after="0" w:line="600" w:lineRule="exact"/>
        <w:rPr>
          <w:rFonts w:ascii="仿宋_GB2312" w:eastAsia="仿宋_GB2312" w:hAnsi="仿宋"/>
          <w:color w:val="000000"/>
        </w:rPr>
      </w:pPr>
      <w:bookmarkStart w:id="70" w:name="_Toc15396629"/>
      <w:bookmarkStart w:id="71" w:name="_Toc9928"/>
      <w:r w:rsidRPr="00065469">
        <w:rPr>
          <w:rStyle w:val="2Char"/>
          <w:rFonts w:ascii="仿宋_GB2312" w:eastAsia="仿宋_GB2312" w:hAnsi="仿宋" w:hint="eastAsia"/>
        </w:rPr>
        <w:t>十一、</w:t>
      </w:r>
      <w:r w:rsidRPr="00065469">
        <w:rPr>
          <w:rFonts w:ascii="仿宋_GB2312" w:eastAsia="仿宋_GB2312" w:hAnsi="仿宋" w:hint="eastAsia"/>
          <w:b w:val="0"/>
          <w:color w:val="000000"/>
        </w:rPr>
        <w:t>政</w:t>
      </w:r>
      <w:r w:rsidRPr="00065469">
        <w:rPr>
          <w:rStyle w:val="2Char"/>
          <w:rFonts w:ascii="仿宋_GB2312" w:eastAsia="仿宋_GB2312" w:hAnsi="仿宋" w:hint="eastAsia"/>
        </w:rPr>
        <w:t>府性基金预算财政拨款收入支出决算表</w:t>
      </w:r>
      <w:bookmarkEnd w:id="70"/>
      <w:bookmarkEnd w:id="71"/>
    </w:p>
    <w:p w:rsidR="00ED09F1" w:rsidRPr="00065469" w:rsidRDefault="00ED09F1" w:rsidP="00ED09F1">
      <w:pPr>
        <w:pStyle w:val="20"/>
        <w:spacing w:before="0" w:after="0" w:line="600" w:lineRule="exact"/>
        <w:rPr>
          <w:rFonts w:ascii="仿宋_GB2312" w:eastAsia="仿宋_GB2312" w:hAnsi="仿宋"/>
          <w:color w:val="000000"/>
        </w:rPr>
      </w:pPr>
      <w:bookmarkStart w:id="72" w:name="_Toc15396630"/>
      <w:bookmarkStart w:id="73" w:name="_Toc28861"/>
      <w:r w:rsidRPr="00065469">
        <w:rPr>
          <w:rStyle w:val="2Char"/>
          <w:rFonts w:ascii="仿宋_GB2312" w:eastAsia="仿宋_GB2312" w:hAnsi="仿宋" w:hint="eastAsia"/>
        </w:rPr>
        <w:t>十二、</w:t>
      </w:r>
      <w:r w:rsidRPr="00065469">
        <w:rPr>
          <w:rFonts w:ascii="仿宋_GB2312" w:eastAsia="仿宋_GB2312" w:hAnsi="仿宋" w:hint="eastAsia"/>
          <w:b w:val="0"/>
          <w:color w:val="000000"/>
        </w:rPr>
        <w:t>政</w:t>
      </w:r>
      <w:r w:rsidRPr="00065469">
        <w:rPr>
          <w:rStyle w:val="2Char"/>
          <w:rFonts w:ascii="仿宋_GB2312" w:eastAsia="仿宋_GB2312" w:hAnsi="仿宋" w:hint="eastAsia"/>
        </w:rPr>
        <w:t>府性基金预算财政拨款“三公”经费支出决算表</w:t>
      </w:r>
      <w:bookmarkEnd w:id="72"/>
      <w:bookmarkEnd w:id="73"/>
    </w:p>
    <w:p w:rsidR="00ED09F1" w:rsidRPr="00065469" w:rsidRDefault="00ED09F1" w:rsidP="00ED09F1">
      <w:pPr>
        <w:pStyle w:val="20"/>
        <w:spacing w:before="0" w:after="0" w:line="600" w:lineRule="exact"/>
        <w:rPr>
          <w:rStyle w:val="2Char"/>
          <w:rFonts w:ascii="仿宋_GB2312" w:eastAsia="仿宋_GB2312" w:hAnsi="仿宋"/>
        </w:rPr>
      </w:pPr>
      <w:bookmarkStart w:id="74" w:name="_Toc15396631"/>
      <w:bookmarkStart w:id="75" w:name="_Toc1875"/>
      <w:r w:rsidRPr="00065469">
        <w:rPr>
          <w:rStyle w:val="2Char"/>
          <w:rFonts w:ascii="仿宋_GB2312" w:eastAsia="仿宋_GB2312" w:hAnsi="仿宋" w:hint="eastAsia"/>
        </w:rPr>
        <w:t>十三、</w:t>
      </w:r>
      <w:r w:rsidRPr="00065469">
        <w:rPr>
          <w:rFonts w:ascii="仿宋_GB2312" w:eastAsia="仿宋_GB2312" w:hAnsi="仿宋" w:hint="eastAsia"/>
          <w:b w:val="0"/>
          <w:color w:val="000000"/>
        </w:rPr>
        <w:t>国</w:t>
      </w:r>
      <w:r w:rsidRPr="00065469">
        <w:rPr>
          <w:rStyle w:val="2Char"/>
          <w:rFonts w:ascii="仿宋_GB2312" w:eastAsia="仿宋_GB2312" w:hAnsi="仿宋" w:hint="eastAsia"/>
        </w:rPr>
        <w:t>有资本经营预算财政拨款支出决算表</w:t>
      </w:r>
      <w:bookmarkEnd w:id="74"/>
      <w:bookmarkEnd w:id="75"/>
    </w:p>
    <w:p w:rsidR="00ED09F1" w:rsidRPr="00065469" w:rsidRDefault="00ED09F1" w:rsidP="00ED09F1">
      <w:pPr>
        <w:spacing w:line="600" w:lineRule="exact"/>
        <w:rPr>
          <w:rStyle w:val="2Char"/>
          <w:rFonts w:ascii="仿宋_GB2312" w:eastAsia="仿宋_GB2312" w:hAnsi="仿宋"/>
          <w:b w:val="0"/>
        </w:rPr>
      </w:pPr>
      <w:r w:rsidRPr="00065469">
        <w:rPr>
          <w:rStyle w:val="2Char"/>
          <w:rFonts w:ascii="仿宋_GB2312" w:eastAsia="仿宋_GB2312" w:hAnsi="仿宋" w:hint="eastAsia"/>
          <w:b w:val="0"/>
        </w:rPr>
        <w:t>十四、国有资本经营预算财政拨款支出决算表</w:t>
      </w:r>
    </w:p>
    <w:p w:rsidR="00ED09F1" w:rsidRPr="00065469" w:rsidRDefault="00ED09F1" w:rsidP="003444CF">
      <w:pPr>
        <w:pStyle w:val="2"/>
        <w:ind w:leftChars="0" w:firstLine="0"/>
      </w:pPr>
    </w:p>
    <w:bookmarkEnd w:id="3"/>
    <w:p w:rsidR="00D9592B" w:rsidRPr="00065469" w:rsidRDefault="00D9592B">
      <w:pPr>
        <w:pStyle w:val="2"/>
        <w:ind w:leftChars="0" w:firstLine="0"/>
      </w:pPr>
    </w:p>
    <w:sectPr w:rsidR="00D9592B" w:rsidRPr="00065469" w:rsidSect="00A87344">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404" w:rsidRDefault="00B04404" w:rsidP="00276E0C">
      <w:r>
        <w:separator/>
      </w:r>
    </w:p>
  </w:endnote>
  <w:endnote w:type="continuationSeparator" w:id="0">
    <w:p w:rsidR="00B04404" w:rsidRDefault="00B04404" w:rsidP="00276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Arial Unicode MS"/>
    <w:charset w:val="00"/>
    <w:family w:val="roman"/>
    <w:pitch w:val="default"/>
    <w:sig w:usb0="00000000" w:usb1="00000000" w:usb2="00000000"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仿宋_GBK">
    <w:altName w:val="Malgun Gothic Semilight"/>
    <w:charset w:val="86"/>
    <w:family w:val="auto"/>
    <w:pitch w:val="default"/>
    <w:sig w:usb0="00000001" w:usb1="08000000" w:usb2="00000000" w:usb3="00000000" w:csb0="00040000" w:csb1="00000000"/>
  </w:font>
  <w:font w:name="方正黑体_GBK">
    <w:altName w:val="Malgun Gothic Semilight"/>
    <w:charset w:val="86"/>
    <w:family w:val="auto"/>
    <w:pitch w:val="default"/>
    <w:sig w:usb0="00000001" w:usb1="08000000" w:usb2="00000000" w:usb3="00000000" w:csb0="00040000" w:csb1="00000000"/>
  </w:font>
  <w:font w:name="方正楷体_GBK">
    <w:altName w:val="Malgun Gothic Semilight"/>
    <w:charset w:val="86"/>
    <w:family w:val="auto"/>
    <w:pitch w:val="default"/>
    <w:sig w:usb0="00000001" w:usb1="0800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34675"/>
      <w:docPartObj>
        <w:docPartGallery w:val="Page Numbers (Bottom of Page)"/>
        <w:docPartUnique/>
      </w:docPartObj>
    </w:sdtPr>
    <w:sdtContent>
      <w:p w:rsidR="0050054D" w:rsidRDefault="00BA2E24">
        <w:pPr>
          <w:pStyle w:val="a9"/>
          <w:jc w:val="center"/>
        </w:pPr>
        <w:fldSimple w:instr=" PAGE   \* MERGEFORMAT ">
          <w:r w:rsidR="00972829" w:rsidRPr="00972829">
            <w:rPr>
              <w:noProof/>
              <w:lang w:val="zh-CN"/>
            </w:rPr>
            <w:t>17</w:t>
          </w:r>
        </w:fldSimple>
      </w:p>
    </w:sdtContent>
  </w:sdt>
  <w:p w:rsidR="0050054D" w:rsidRDefault="0050054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404" w:rsidRDefault="00B04404" w:rsidP="00276E0C">
      <w:r>
        <w:separator/>
      </w:r>
    </w:p>
  </w:footnote>
  <w:footnote w:type="continuationSeparator" w:id="0">
    <w:p w:rsidR="00B04404" w:rsidRDefault="00B04404" w:rsidP="00276E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6C66B"/>
    <w:multiLevelType w:val="singleLevel"/>
    <w:tmpl w:val="B026C66B"/>
    <w:lvl w:ilvl="0">
      <w:start w:val="1"/>
      <w:numFmt w:val="decimal"/>
      <w:lvlText w:val="%1."/>
      <w:lvlJc w:val="left"/>
      <w:pPr>
        <w:tabs>
          <w:tab w:val="left" w:pos="312"/>
        </w:tabs>
      </w:pPr>
    </w:lvl>
  </w:abstractNum>
  <w:abstractNum w:abstractNumId="1">
    <w:nsid w:val="BE8AB4D6"/>
    <w:multiLevelType w:val="singleLevel"/>
    <w:tmpl w:val="BE8AB4D6"/>
    <w:lvl w:ilvl="0">
      <w:start w:val="2"/>
      <w:numFmt w:val="chineseCounting"/>
      <w:suff w:val="nothing"/>
      <w:lvlText w:val="（%1）"/>
      <w:lvlJc w:val="left"/>
      <w:rPr>
        <w:rFonts w:hint="eastAsia"/>
      </w:rPr>
    </w:lvl>
  </w:abstractNum>
  <w:abstractNum w:abstractNumId="2">
    <w:nsid w:val="CF652CEC"/>
    <w:multiLevelType w:val="singleLevel"/>
    <w:tmpl w:val="CF652CEC"/>
    <w:lvl w:ilvl="0">
      <w:start w:val="9"/>
      <w:numFmt w:val="chineseCounting"/>
      <w:suff w:val="nothing"/>
      <w:lvlText w:val="%1、"/>
      <w:lvlJc w:val="left"/>
      <w:rPr>
        <w:rFonts w:hint="eastAsia"/>
      </w:rPr>
    </w:lvl>
  </w:abstractNum>
  <w:abstractNum w:abstractNumId="3">
    <w:nsid w:val="E2FA047D"/>
    <w:multiLevelType w:val="singleLevel"/>
    <w:tmpl w:val="E2FA047D"/>
    <w:lvl w:ilvl="0">
      <w:start w:val="3"/>
      <w:numFmt w:val="chineseCounting"/>
      <w:suff w:val="space"/>
      <w:lvlText w:val="第%1部分"/>
      <w:lvlJc w:val="left"/>
      <w:rPr>
        <w:rFonts w:hint="eastAsia"/>
      </w:rPr>
    </w:lvl>
  </w:abstractNum>
  <w:abstractNum w:abstractNumId="4">
    <w:nsid w:val="E30B12D6"/>
    <w:multiLevelType w:val="singleLevel"/>
    <w:tmpl w:val="E30B12D6"/>
    <w:lvl w:ilvl="0">
      <w:start w:val="2"/>
      <w:numFmt w:val="chineseCounting"/>
      <w:suff w:val="nothing"/>
      <w:lvlText w:val="（%1）"/>
      <w:lvlJc w:val="left"/>
      <w:rPr>
        <w:rFonts w:hint="eastAsia"/>
      </w:rPr>
    </w:lvl>
  </w:abstractNum>
  <w:abstractNum w:abstractNumId="5">
    <w:nsid w:val="EC0BEF30"/>
    <w:multiLevelType w:val="singleLevel"/>
    <w:tmpl w:val="EC0BEF30"/>
    <w:lvl w:ilvl="0">
      <w:start w:val="1"/>
      <w:numFmt w:val="chineseCounting"/>
      <w:suff w:val="nothing"/>
      <w:lvlText w:val="（%1）"/>
      <w:lvlJc w:val="left"/>
      <w:rPr>
        <w:rFonts w:ascii="楷体_GB2312" w:eastAsia="楷体_GB2312" w:hAnsi="楷体_GB2312" w:hint="eastAsia"/>
        <w:b/>
        <w:bCs/>
        <w:sz w:val="32"/>
        <w:szCs w:val="32"/>
      </w:rPr>
    </w:lvl>
  </w:abstractNum>
  <w:abstractNum w:abstractNumId="6">
    <w:nsid w:val="EFEE07E9"/>
    <w:multiLevelType w:val="singleLevel"/>
    <w:tmpl w:val="EFEE07E9"/>
    <w:lvl w:ilvl="0">
      <w:start w:val="4"/>
      <w:numFmt w:val="chineseCounting"/>
      <w:suff w:val="nothing"/>
      <w:lvlText w:val="%1、"/>
      <w:lvlJc w:val="left"/>
      <w:rPr>
        <w:rFonts w:hint="eastAsia"/>
      </w:rPr>
    </w:lvl>
  </w:abstractNum>
  <w:abstractNum w:abstractNumId="7">
    <w:nsid w:val="F1D406D5"/>
    <w:multiLevelType w:val="singleLevel"/>
    <w:tmpl w:val="F1D406D5"/>
    <w:lvl w:ilvl="0">
      <w:start w:val="3"/>
      <w:numFmt w:val="chineseCounting"/>
      <w:suff w:val="nothing"/>
      <w:lvlText w:val="%1、"/>
      <w:lvlJc w:val="left"/>
      <w:rPr>
        <w:rFonts w:hint="eastAsia"/>
      </w:rPr>
    </w:lvl>
  </w:abstractNum>
  <w:abstractNum w:abstractNumId="8">
    <w:nsid w:val="FFEA7154"/>
    <w:multiLevelType w:val="singleLevel"/>
    <w:tmpl w:val="FFEA7154"/>
    <w:lvl w:ilvl="0">
      <w:start w:val="2"/>
      <w:numFmt w:val="chineseCounting"/>
      <w:suff w:val="nothing"/>
      <w:lvlText w:val="（%1）"/>
      <w:lvlJc w:val="left"/>
      <w:rPr>
        <w:rFonts w:hint="eastAsia"/>
      </w:rPr>
    </w:lvl>
  </w:abstractNum>
  <w:abstractNum w:abstractNumId="9">
    <w:nsid w:val="0E866978"/>
    <w:multiLevelType w:val="hybridMultilevel"/>
    <w:tmpl w:val="CEAAFC66"/>
    <w:lvl w:ilvl="0" w:tplc="17C4FF0A">
      <w:start w:val="3"/>
      <w:numFmt w:val="japaneseCounting"/>
      <w:lvlText w:val="%1、"/>
      <w:lvlJc w:val="left"/>
      <w:pPr>
        <w:ind w:left="1360" w:hanging="720"/>
      </w:pPr>
      <w:rPr>
        <w:rFonts w:cs="黑体"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nsid w:val="1272550B"/>
    <w:multiLevelType w:val="multilevel"/>
    <w:tmpl w:val="1272550B"/>
    <w:lvl w:ilvl="0">
      <w:start w:val="1"/>
      <w:numFmt w:val="japaneseCounting"/>
      <w:lvlText w:val="%1、"/>
      <w:lvlJc w:val="left"/>
      <w:pPr>
        <w:ind w:left="1360" w:hanging="720"/>
      </w:pPr>
      <w:rPr>
        <w:rFonts w:hint="default"/>
        <w:b w:val="0"/>
        <w:bCs w:val="0"/>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1">
    <w:nsid w:val="15B2056E"/>
    <w:multiLevelType w:val="singleLevel"/>
    <w:tmpl w:val="15B2056E"/>
    <w:lvl w:ilvl="0">
      <w:start w:val="1"/>
      <w:numFmt w:val="chineseCounting"/>
      <w:suff w:val="nothing"/>
      <w:lvlText w:val="（%1）"/>
      <w:lvlJc w:val="left"/>
      <w:rPr>
        <w:rFonts w:hint="eastAsia"/>
      </w:rPr>
    </w:lvl>
  </w:abstractNum>
  <w:abstractNum w:abstractNumId="12">
    <w:nsid w:val="17F426B7"/>
    <w:multiLevelType w:val="multilevel"/>
    <w:tmpl w:val="17F426B7"/>
    <w:lvl w:ilvl="0">
      <w:start w:val="10"/>
      <w:numFmt w:val="japaneseCounting"/>
      <w:lvlText w:val="%1、"/>
      <w:lvlJc w:val="left"/>
      <w:pPr>
        <w:ind w:left="1429" w:hanging="720"/>
      </w:pPr>
      <w:rPr>
        <w:rFonts w:hint="default"/>
      </w:r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13">
    <w:nsid w:val="2659576B"/>
    <w:multiLevelType w:val="hybridMultilevel"/>
    <w:tmpl w:val="BD448F74"/>
    <w:lvl w:ilvl="0" w:tplc="5EA09D94">
      <w:start w:val="1"/>
      <w:numFmt w:val="japaneseCounting"/>
      <w:lvlText w:val="（%1）"/>
      <w:lvlJc w:val="left"/>
      <w:pPr>
        <w:ind w:left="1920" w:hanging="10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nsid w:val="34D05F87"/>
    <w:multiLevelType w:val="singleLevel"/>
    <w:tmpl w:val="48F5ABBE"/>
    <w:lvl w:ilvl="0">
      <w:start w:val="1"/>
      <w:numFmt w:val="decimal"/>
      <w:suff w:val="nothing"/>
      <w:lvlText w:val="（%1）"/>
      <w:lvlJc w:val="left"/>
    </w:lvl>
  </w:abstractNum>
  <w:abstractNum w:abstractNumId="15">
    <w:nsid w:val="39371FEB"/>
    <w:multiLevelType w:val="singleLevel"/>
    <w:tmpl w:val="39371FEB"/>
    <w:lvl w:ilvl="0">
      <w:start w:val="2"/>
      <w:numFmt w:val="chineseCounting"/>
      <w:suff w:val="nothing"/>
      <w:lvlText w:val="（%1）"/>
      <w:lvlJc w:val="left"/>
      <w:rPr>
        <w:rFonts w:hint="eastAsia"/>
      </w:rPr>
    </w:lvl>
  </w:abstractNum>
  <w:abstractNum w:abstractNumId="16">
    <w:nsid w:val="48F5ABBE"/>
    <w:multiLevelType w:val="singleLevel"/>
    <w:tmpl w:val="48F5ABBE"/>
    <w:lvl w:ilvl="0">
      <w:start w:val="1"/>
      <w:numFmt w:val="decimal"/>
      <w:suff w:val="nothing"/>
      <w:lvlText w:val="（%1）"/>
      <w:lvlJc w:val="left"/>
    </w:lvl>
  </w:abstractNum>
  <w:abstractNum w:abstractNumId="17">
    <w:nsid w:val="7DF722A5"/>
    <w:multiLevelType w:val="singleLevel"/>
    <w:tmpl w:val="7DF722A5"/>
    <w:lvl w:ilvl="0">
      <w:start w:val="3"/>
      <w:numFmt w:val="chineseCounting"/>
      <w:suff w:val="nothing"/>
      <w:lvlText w:val="%1、"/>
      <w:lvlJc w:val="left"/>
      <w:rPr>
        <w:rFonts w:hint="eastAsia"/>
      </w:rPr>
    </w:lvl>
  </w:abstractNum>
  <w:num w:numId="1">
    <w:abstractNumId w:val="10"/>
  </w:num>
  <w:num w:numId="2">
    <w:abstractNumId w:val="2"/>
  </w:num>
  <w:num w:numId="3">
    <w:abstractNumId w:val="12"/>
  </w:num>
  <w:num w:numId="4">
    <w:abstractNumId w:val="5"/>
  </w:num>
  <w:num w:numId="5">
    <w:abstractNumId w:val="0"/>
  </w:num>
  <w:num w:numId="6">
    <w:abstractNumId w:val="3"/>
  </w:num>
  <w:num w:numId="7">
    <w:abstractNumId w:val="9"/>
  </w:num>
  <w:num w:numId="8">
    <w:abstractNumId w:val="16"/>
  </w:num>
  <w:num w:numId="9">
    <w:abstractNumId w:val="11"/>
  </w:num>
  <w:num w:numId="10">
    <w:abstractNumId w:val="14"/>
  </w:num>
  <w:num w:numId="11">
    <w:abstractNumId w:val="13"/>
  </w:num>
  <w:num w:numId="12">
    <w:abstractNumId w:val="17"/>
  </w:num>
  <w:num w:numId="13">
    <w:abstractNumId w:val="4"/>
  </w:num>
  <w:num w:numId="14">
    <w:abstractNumId w:val="7"/>
  </w:num>
  <w:num w:numId="15">
    <w:abstractNumId w:val="15"/>
  </w:num>
  <w:num w:numId="16">
    <w:abstractNumId w:val="1"/>
  </w:num>
  <w:num w:numId="17">
    <w:abstractNumId w:val="8"/>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8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4184"/>
    <w:rsid w:val="00002C10"/>
    <w:rsid w:val="00005269"/>
    <w:rsid w:val="0000678E"/>
    <w:rsid w:val="00014C7B"/>
    <w:rsid w:val="000241FD"/>
    <w:rsid w:val="00025E73"/>
    <w:rsid w:val="00027DE7"/>
    <w:rsid w:val="000304C2"/>
    <w:rsid w:val="00040BE4"/>
    <w:rsid w:val="000436EB"/>
    <w:rsid w:val="00054248"/>
    <w:rsid w:val="00055BBE"/>
    <w:rsid w:val="00065469"/>
    <w:rsid w:val="00065D87"/>
    <w:rsid w:val="0006630A"/>
    <w:rsid w:val="00075640"/>
    <w:rsid w:val="0008281D"/>
    <w:rsid w:val="00086804"/>
    <w:rsid w:val="00090F33"/>
    <w:rsid w:val="000923B7"/>
    <w:rsid w:val="000A192C"/>
    <w:rsid w:val="000A1CD9"/>
    <w:rsid w:val="000A5238"/>
    <w:rsid w:val="000A564E"/>
    <w:rsid w:val="000B0BF1"/>
    <w:rsid w:val="000C1344"/>
    <w:rsid w:val="000C179C"/>
    <w:rsid w:val="000C3DC2"/>
    <w:rsid w:val="000C4FC7"/>
    <w:rsid w:val="000C7CD8"/>
    <w:rsid w:val="000D3A21"/>
    <w:rsid w:val="000E5B8D"/>
    <w:rsid w:val="000E6B7D"/>
    <w:rsid w:val="000F53CF"/>
    <w:rsid w:val="001037D5"/>
    <w:rsid w:val="00112335"/>
    <w:rsid w:val="001149BC"/>
    <w:rsid w:val="00116565"/>
    <w:rsid w:val="001175EE"/>
    <w:rsid w:val="00122599"/>
    <w:rsid w:val="00123DE7"/>
    <w:rsid w:val="001266B1"/>
    <w:rsid w:val="00126B2A"/>
    <w:rsid w:val="0013021B"/>
    <w:rsid w:val="001365BF"/>
    <w:rsid w:val="001403B6"/>
    <w:rsid w:val="00142D37"/>
    <w:rsid w:val="001569AD"/>
    <w:rsid w:val="00161E33"/>
    <w:rsid w:val="00162890"/>
    <w:rsid w:val="00163B34"/>
    <w:rsid w:val="00163EC7"/>
    <w:rsid w:val="0016413A"/>
    <w:rsid w:val="00165427"/>
    <w:rsid w:val="0017167A"/>
    <w:rsid w:val="00180BD7"/>
    <w:rsid w:val="001A03E0"/>
    <w:rsid w:val="001A121F"/>
    <w:rsid w:val="001A4B98"/>
    <w:rsid w:val="001B38DA"/>
    <w:rsid w:val="001B512B"/>
    <w:rsid w:val="001C2A66"/>
    <w:rsid w:val="001C65C5"/>
    <w:rsid w:val="001F07F7"/>
    <w:rsid w:val="001F7ADD"/>
    <w:rsid w:val="002011D5"/>
    <w:rsid w:val="00202685"/>
    <w:rsid w:val="0020460E"/>
    <w:rsid w:val="002057A2"/>
    <w:rsid w:val="002057D5"/>
    <w:rsid w:val="00205AA7"/>
    <w:rsid w:val="00210FAF"/>
    <w:rsid w:val="00213F26"/>
    <w:rsid w:val="002238BA"/>
    <w:rsid w:val="002244B1"/>
    <w:rsid w:val="00227878"/>
    <w:rsid w:val="00235DD1"/>
    <w:rsid w:val="00235FDD"/>
    <w:rsid w:val="00236CE1"/>
    <w:rsid w:val="00241F5D"/>
    <w:rsid w:val="00244F71"/>
    <w:rsid w:val="002464D5"/>
    <w:rsid w:val="00247F05"/>
    <w:rsid w:val="00251BCC"/>
    <w:rsid w:val="00256D63"/>
    <w:rsid w:val="00272D25"/>
    <w:rsid w:val="00276E0C"/>
    <w:rsid w:val="00277822"/>
    <w:rsid w:val="002814A2"/>
    <w:rsid w:val="00284343"/>
    <w:rsid w:val="0028474C"/>
    <w:rsid w:val="00285CAA"/>
    <w:rsid w:val="00287298"/>
    <w:rsid w:val="00295A1A"/>
    <w:rsid w:val="002B63A1"/>
    <w:rsid w:val="002C185A"/>
    <w:rsid w:val="002C3700"/>
    <w:rsid w:val="002C3E6A"/>
    <w:rsid w:val="002D16E9"/>
    <w:rsid w:val="002D3FCF"/>
    <w:rsid w:val="002D51C4"/>
    <w:rsid w:val="002E40E0"/>
    <w:rsid w:val="00300DAE"/>
    <w:rsid w:val="003038F6"/>
    <w:rsid w:val="00306558"/>
    <w:rsid w:val="00307064"/>
    <w:rsid w:val="00323FB5"/>
    <w:rsid w:val="0033661A"/>
    <w:rsid w:val="003444CF"/>
    <w:rsid w:val="00344D6E"/>
    <w:rsid w:val="00346029"/>
    <w:rsid w:val="00351FF2"/>
    <w:rsid w:val="00356BC5"/>
    <w:rsid w:val="00372131"/>
    <w:rsid w:val="00372BF1"/>
    <w:rsid w:val="00385E37"/>
    <w:rsid w:val="00387396"/>
    <w:rsid w:val="00391092"/>
    <w:rsid w:val="00391761"/>
    <w:rsid w:val="00395013"/>
    <w:rsid w:val="00397C66"/>
    <w:rsid w:val="003A3B0D"/>
    <w:rsid w:val="003A5A49"/>
    <w:rsid w:val="003A7A6C"/>
    <w:rsid w:val="003B2A26"/>
    <w:rsid w:val="003B3334"/>
    <w:rsid w:val="003B3CDB"/>
    <w:rsid w:val="003B42F2"/>
    <w:rsid w:val="003B5EF0"/>
    <w:rsid w:val="003C2684"/>
    <w:rsid w:val="003C6319"/>
    <w:rsid w:val="003D2A19"/>
    <w:rsid w:val="003D5AD8"/>
    <w:rsid w:val="003D7B2C"/>
    <w:rsid w:val="003E1D66"/>
    <w:rsid w:val="003E1E05"/>
    <w:rsid w:val="003E3A3F"/>
    <w:rsid w:val="00401FDF"/>
    <w:rsid w:val="00415D10"/>
    <w:rsid w:val="0041786E"/>
    <w:rsid w:val="00421A8A"/>
    <w:rsid w:val="0042493F"/>
    <w:rsid w:val="00434925"/>
    <w:rsid w:val="0044572B"/>
    <w:rsid w:val="00450127"/>
    <w:rsid w:val="00466F2E"/>
    <w:rsid w:val="00471F57"/>
    <w:rsid w:val="0047510F"/>
    <w:rsid w:val="00484078"/>
    <w:rsid w:val="00485AC3"/>
    <w:rsid w:val="00497526"/>
    <w:rsid w:val="004A202A"/>
    <w:rsid w:val="004B17EC"/>
    <w:rsid w:val="004B2098"/>
    <w:rsid w:val="004C1EF8"/>
    <w:rsid w:val="004C3853"/>
    <w:rsid w:val="004C4296"/>
    <w:rsid w:val="004C663A"/>
    <w:rsid w:val="004D0DFA"/>
    <w:rsid w:val="004E4B55"/>
    <w:rsid w:val="004F055A"/>
    <w:rsid w:val="004F59C3"/>
    <w:rsid w:val="0050054D"/>
    <w:rsid w:val="00500A61"/>
    <w:rsid w:val="00506E7B"/>
    <w:rsid w:val="00507393"/>
    <w:rsid w:val="00510DEF"/>
    <w:rsid w:val="0051658D"/>
    <w:rsid w:val="00520256"/>
    <w:rsid w:val="00531136"/>
    <w:rsid w:val="00533E91"/>
    <w:rsid w:val="00534CAB"/>
    <w:rsid w:val="00537F21"/>
    <w:rsid w:val="0054292E"/>
    <w:rsid w:val="005446A6"/>
    <w:rsid w:val="005454AE"/>
    <w:rsid w:val="00552D04"/>
    <w:rsid w:val="00565D8E"/>
    <w:rsid w:val="005746E4"/>
    <w:rsid w:val="00574C56"/>
    <w:rsid w:val="00577B58"/>
    <w:rsid w:val="00582FAD"/>
    <w:rsid w:val="00585764"/>
    <w:rsid w:val="00593F3F"/>
    <w:rsid w:val="005A267C"/>
    <w:rsid w:val="005A283F"/>
    <w:rsid w:val="005B15A9"/>
    <w:rsid w:val="005C28C7"/>
    <w:rsid w:val="005C7509"/>
    <w:rsid w:val="005D0D14"/>
    <w:rsid w:val="005D3B99"/>
    <w:rsid w:val="005D3F96"/>
    <w:rsid w:val="005D48F6"/>
    <w:rsid w:val="005D49DC"/>
    <w:rsid w:val="005D6EEF"/>
    <w:rsid w:val="005D7709"/>
    <w:rsid w:val="005E41E0"/>
    <w:rsid w:val="005E7728"/>
    <w:rsid w:val="005F4949"/>
    <w:rsid w:val="005F7E18"/>
    <w:rsid w:val="0060227E"/>
    <w:rsid w:val="00604411"/>
    <w:rsid w:val="00605A9D"/>
    <w:rsid w:val="00607A95"/>
    <w:rsid w:val="00612932"/>
    <w:rsid w:val="006222AD"/>
    <w:rsid w:val="00625D34"/>
    <w:rsid w:val="00626216"/>
    <w:rsid w:val="0062765F"/>
    <w:rsid w:val="006329FE"/>
    <w:rsid w:val="00632AB1"/>
    <w:rsid w:val="00647DFD"/>
    <w:rsid w:val="006508CD"/>
    <w:rsid w:val="006513EF"/>
    <w:rsid w:val="00660643"/>
    <w:rsid w:val="00675A46"/>
    <w:rsid w:val="00675BF3"/>
    <w:rsid w:val="006819FE"/>
    <w:rsid w:val="00681C25"/>
    <w:rsid w:val="0069292F"/>
    <w:rsid w:val="006944E0"/>
    <w:rsid w:val="006A2389"/>
    <w:rsid w:val="006A591A"/>
    <w:rsid w:val="006A6296"/>
    <w:rsid w:val="006B4135"/>
    <w:rsid w:val="006B4C73"/>
    <w:rsid w:val="006E22D4"/>
    <w:rsid w:val="006E6790"/>
    <w:rsid w:val="006F1530"/>
    <w:rsid w:val="006F643D"/>
    <w:rsid w:val="006F6779"/>
    <w:rsid w:val="00716A00"/>
    <w:rsid w:val="00721E37"/>
    <w:rsid w:val="00723487"/>
    <w:rsid w:val="00725D40"/>
    <w:rsid w:val="00741A7C"/>
    <w:rsid w:val="00741AF4"/>
    <w:rsid w:val="007627AD"/>
    <w:rsid w:val="00764266"/>
    <w:rsid w:val="00773055"/>
    <w:rsid w:val="007756AF"/>
    <w:rsid w:val="0078031E"/>
    <w:rsid w:val="00781BC3"/>
    <w:rsid w:val="007830E4"/>
    <w:rsid w:val="00790FFD"/>
    <w:rsid w:val="00791AAA"/>
    <w:rsid w:val="00794320"/>
    <w:rsid w:val="00794FFB"/>
    <w:rsid w:val="007A0A35"/>
    <w:rsid w:val="007A3333"/>
    <w:rsid w:val="007A4733"/>
    <w:rsid w:val="007A640B"/>
    <w:rsid w:val="007A74C6"/>
    <w:rsid w:val="007B0230"/>
    <w:rsid w:val="007B24CF"/>
    <w:rsid w:val="007C03C5"/>
    <w:rsid w:val="007C54CE"/>
    <w:rsid w:val="007C72C2"/>
    <w:rsid w:val="007E05D4"/>
    <w:rsid w:val="007E4B5F"/>
    <w:rsid w:val="00810D56"/>
    <w:rsid w:val="0083154E"/>
    <w:rsid w:val="00831FE6"/>
    <w:rsid w:val="00833540"/>
    <w:rsid w:val="00836F0D"/>
    <w:rsid w:val="00852BB1"/>
    <w:rsid w:val="00854E24"/>
    <w:rsid w:val="00856CB1"/>
    <w:rsid w:val="00867C28"/>
    <w:rsid w:val="00870ADE"/>
    <w:rsid w:val="00871D8A"/>
    <w:rsid w:val="008733D3"/>
    <w:rsid w:val="00874C68"/>
    <w:rsid w:val="008839E5"/>
    <w:rsid w:val="008862D1"/>
    <w:rsid w:val="00886A6C"/>
    <w:rsid w:val="008931C7"/>
    <w:rsid w:val="00894E86"/>
    <w:rsid w:val="00895CB6"/>
    <w:rsid w:val="008A7BC8"/>
    <w:rsid w:val="008B40C4"/>
    <w:rsid w:val="008C0886"/>
    <w:rsid w:val="008C0F37"/>
    <w:rsid w:val="008D7C19"/>
    <w:rsid w:val="008E0CEC"/>
    <w:rsid w:val="008E1E94"/>
    <w:rsid w:val="008E2557"/>
    <w:rsid w:val="008E2A2C"/>
    <w:rsid w:val="008E6397"/>
    <w:rsid w:val="008E6E0F"/>
    <w:rsid w:val="008E7C2B"/>
    <w:rsid w:val="008F69AD"/>
    <w:rsid w:val="008F6F9D"/>
    <w:rsid w:val="00904C6A"/>
    <w:rsid w:val="00914F5F"/>
    <w:rsid w:val="0091707C"/>
    <w:rsid w:val="00917C40"/>
    <w:rsid w:val="00923FDA"/>
    <w:rsid w:val="00927849"/>
    <w:rsid w:val="00934184"/>
    <w:rsid w:val="00934C54"/>
    <w:rsid w:val="00942CF4"/>
    <w:rsid w:val="009431D7"/>
    <w:rsid w:val="009440F0"/>
    <w:rsid w:val="009456FE"/>
    <w:rsid w:val="009541D1"/>
    <w:rsid w:val="00960D1B"/>
    <w:rsid w:val="00964D02"/>
    <w:rsid w:val="00970A24"/>
    <w:rsid w:val="00972829"/>
    <w:rsid w:val="009741D0"/>
    <w:rsid w:val="009767A8"/>
    <w:rsid w:val="0097747F"/>
    <w:rsid w:val="00981ED9"/>
    <w:rsid w:val="00983243"/>
    <w:rsid w:val="009942F7"/>
    <w:rsid w:val="009A00CB"/>
    <w:rsid w:val="009A3B52"/>
    <w:rsid w:val="009A547F"/>
    <w:rsid w:val="009A61AF"/>
    <w:rsid w:val="009A63EF"/>
    <w:rsid w:val="009B3CAF"/>
    <w:rsid w:val="009B4809"/>
    <w:rsid w:val="009B7A29"/>
    <w:rsid w:val="009C4535"/>
    <w:rsid w:val="009E28D1"/>
    <w:rsid w:val="009E4B8A"/>
    <w:rsid w:val="009E7630"/>
    <w:rsid w:val="00A11F0B"/>
    <w:rsid w:val="00A13B11"/>
    <w:rsid w:val="00A15D0D"/>
    <w:rsid w:val="00A16878"/>
    <w:rsid w:val="00A16BBD"/>
    <w:rsid w:val="00A21671"/>
    <w:rsid w:val="00A2296B"/>
    <w:rsid w:val="00A243B5"/>
    <w:rsid w:val="00A25116"/>
    <w:rsid w:val="00A255B1"/>
    <w:rsid w:val="00A27BCF"/>
    <w:rsid w:val="00A311ED"/>
    <w:rsid w:val="00A32807"/>
    <w:rsid w:val="00A33582"/>
    <w:rsid w:val="00A36258"/>
    <w:rsid w:val="00A4381D"/>
    <w:rsid w:val="00A45AB1"/>
    <w:rsid w:val="00A52B9D"/>
    <w:rsid w:val="00A617EB"/>
    <w:rsid w:val="00A65DC5"/>
    <w:rsid w:val="00A7237B"/>
    <w:rsid w:val="00A741D3"/>
    <w:rsid w:val="00A7724B"/>
    <w:rsid w:val="00A8141D"/>
    <w:rsid w:val="00A82515"/>
    <w:rsid w:val="00A84C4B"/>
    <w:rsid w:val="00A85AFD"/>
    <w:rsid w:val="00A87344"/>
    <w:rsid w:val="00A92D5A"/>
    <w:rsid w:val="00A93BD9"/>
    <w:rsid w:val="00A957E3"/>
    <w:rsid w:val="00AA07B6"/>
    <w:rsid w:val="00AA1F41"/>
    <w:rsid w:val="00AB0E6E"/>
    <w:rsid w:val="00AB207D"/>
    <w:rsid w:val="00AC0510"/>
    <w:rsid w:val="00AE100D"/>
    <w:rsid w:val="00AE11E0"/>
    <w:rsid w:val="00AF2E15"/>
    <w:rsid w:val="00AF352C"/>
    <w:rsid w:val="00B04404"/>
    <w:rsid w:val="00B105BA"/>
    <w:rsid w:val="00B110C4"/>
    <w:rsid w:val="00B16201"/>
    <w:rsid w:val="00B20F00"/>
    <w:rsid w:val="00B21270"/>
    <w:rsid w:val="00B25420"/>
    <w:rsid w:val="00B42445"/>
    <w:rsid w:val="00B42A36"/>
    <w:rsid w:val="00B50B3A"/>
    <w:rsid w:val="00B53657"/>
    <w:rsid w:val="00B6017A"/>
    <w:rsid w:val="00B667BF"/>
    <w:rsid w:val="00B7164F"/>
    <w:rsid w:val="00B81479"/>
    <w:rsid w:val="00B85840"/>
    <w:rsid w:val="00B87944"/>
    <w:rsid w:val="00B9162B"/>
    <w:rsid w:val="00B93D21"/>
    <w:rsid w:val="00B967B1"/>
    <w:rsid w:val="00B96B5B"/>
    <w:rsid w:val="00BA2E24"/>
    <w:rsid w:val="00BB2801"/>
    <w:rsid w:val="00BC479C"/>
    <w:rsid w:val="00BC49FA"/>
    <w:rsid w:val="00BC4C05"/>
    <w:rsid w:val="00BD02F0"/>
    <w:rsid w:val="00BD05FD"/>
    <w:rsid w:val="00BD1DFA"/>
    <w:rsid w:val="00BD42C6"/>
    <w:rsid w:val="00BD49EE"/>
    <w:rsid w:val="00BD741F"/>
    <w:rsid w:val="00BE3E7A"/>
    <w:rsid w:val="00BE6405"/>
    <w:rsid w:val="00BF42B6"/>
    <w:rsid w:val="00C10BCB"/>
    <w:rsid w:val="00C1474B"/>
    <w:rsid w:val="00C14963"/>
    <w:rsid w:val="00C15B83"/>
    <w:rsid w:val="00C21AFD"/>
    <w:rsid w:val="00C31091"/>
    <w:rsid w:val="00C3497D"/>
    <w:rsid w:val="00C368A4"/>
    <w:rsid w:val="00C45462"/>
    <w:rsid w:val="00C57ABB"/>
    <w:rsid w:val="00C640A9"/>
    <w:rsid w:val="00C6475F"/>
    <w:rsid w:val="00C64814"/>
    <w:rsid w:val="00C64E6E"/>
    <w:rsid w:val="00C8008B"/>
    <w:rsid w:val="00C80922"/>
    <w:rsid w:val="00CA624B"/>
    <w:rsid w:val="00CA72E6"/>
    <w:rsid w:val="00CB082F"/>
    <w:rsid w:val="00CC01DD"/>
    <w:rsid w:val="00CC1C00"/>
    <w:rsid w:val="00CC202C"/>
    <w:rsid w:val="00CC6326"/>
    <w:rsid w:val="00CC6A4A"/>
    <w:rsid w:val="00CD0D80"/>
    <w:rsid w:val="00CD3115"/>
    <w:rsid w:val="00CD4104"/>
    <w:rsid w:val="00CD55A5"/>
    <w:rsid w:val="00CD7060"/>
    <w:rsid w:val="00CE00D7"/>
    <w:rsid w:val="00CE09AF"/>
    <w:rsid w:val="00CE17AD"/>
    <w:rsid w:val="00CE28E7"/>
    <w:rsid w:val="00CE3270"/>
    <w:rsid w:val="00CE3821"/>
    <w:rsid w:val="00CF223D"/>
    <w:rsid w:val="00CF6148"/>
    <w:rsid w:val="00CF6C3E"/>
    <w:rsid w:val="00CF7A6F"/>
    <w:rsid w:val="00D219F9"/>
    <w:rsid w:val="00D22FC8"/>
    <w:rsid w:val="00D31DE7"/>
    <w:rsid w:val="00D34AB3"/>
    <w:rsid w:val="00D3746E"/>
    <w:rsid w:val="00D50DBB"/>
    <w:rsid w:val="00D52A95"/>
    <w:rsid w:val="00D57EC6"/>
    <w:rsid w:val="00D65D47"/>
    <w:rsid w:val="00D7654D"/>
    <w:rsid w:val="00D81402"/>
    <w:rsid w:val="00D8201A"/>
    <w:rsid w:val="00D843D5"/>
    <w:rsid w:val="00D8557E"/>
    <w:rsid w:val="00D9592B"/>
    <w:rsid w:val="00D9699B"/>
    <w:rsid w:val="00DB15D0"/>
    <w:rsid w:val="00DB2D00"/>
    <w:rsid w:val="00DB33B6"/>
    <w:rsid w:val="00DC0F3B"/>
    <w:rsid w:val="00DC4197"/>
    <w:rsid w:val="00DC63E0"/>
    <w:rsid w:val="00DD323B"/>
    <w:rsid w:val="00DD6ECE"/>
    <w:rsid w:val="00DE2E15"/>
    <w:rsid w:val="00DF3B16"/>
    <w:rsid w:val="00E05637"/>
    <w:rsid w:val="00E117B0"/>
    <w:rsid w:val="00E11BC3"/>
    <w:rsid w:val="00E121DD"/>
    <w:rsid w:val="00E1411B"/>
    <w:rsid w:val="00E14E52"/>
    <w:rsid w:val="00E2330B"/>
    <w:rsid w:val="00E308DD"/>
    <w:rsid w:val="00E32F48"/>
    <w:rsid w:val="00E56BA0"/>
    <w:rsid w:val="00E605A2"/>
    <w:rsid w:val="00E61060"/>
    <w:rsid w:val="00E6117F"/>
    <w:rsid w:val="00E62D6B"/>
    <w:rsid w:val="00E71011"/>
    <w:rsid w:val="00E74AD7"/>
    <w:rsid w:val="00E94471"/>
    <w:rsid w:val="00E96840"/>
    <w:rsid w:val="00EA2782"/>
    <w:rsid w:val="00EC2618"/>
    <w:rsid w:val="00ED09F1"/>
    <w:rsid w:val="00ED1377"/>
    <w:rsid w:val="00ED18E1"/>
    <w:rsid w:val="00ED22B9"/>
    <w:rsid w:val="00ED4108"/>
    <w:rsid w:val="00ED46A1"/>
    <w:rsid w:val="00ED697F"/>
    <w:rsid w:val="00ED7C9E"/>
    <w:rsid w:val="00ED7F7C"/>
    <w:rsid w:val="00EE21CF"/>
    <w:rsid w:val="00EE266A"/>
    <w:rsid w:val="00EE3194"/>
    <w:rsid w:val="00EE382F"/>
    <w:rsid w:val="00EE6795"/>
    <w:rsid w:val="00EE73A7"/>
    <w:rsid w:val="00EF0A6D"/>
    <w:rsid w:val="00EF15D7"/>
    <w:rsid w:val="00EF4180"/>
    <w:rsid w:val="00F16AB4"/>
    <w:rsid w:val="00F22FB3"/>
    <w:rsid w:val="00F27940"/>
    <w:rsid w:val="00F42154"/>
    <w:rsid w:val="00F507CC"/>
    <w:rsid w:val="00F51ACD"/>
    <w:rsid w:val="00F53351"/>
    <w:rsid w:val="00F56327"/>
    <w:rsid w:val="00F57460"/>
    <w:rsid w:val="00F6060C"/>
    <w:rsid w:val="00F60B5C"/>
    <w:rsid w:val="00F66935"/>
    <w:rsid w:val="00F70347"/>
    <w:rsid w:val="00F70AD2"/>
    <w:rsid w:val="00F71480"/>
    <w:rsid w:val="00F72DBE"/>
    <w:rsid w:val="00F75161"/>
    <w:rsid w:val="00F84FF7"/>
    <w:rsid w:val="00F852B3"/>
    <w:rsid w:val="00FA6D75"/>
    <w:rsid w:val="00FB5A7F"/>
    <w:rsid w:val="00FC00B6"/>
    <w:rsid w:val="00FC0A7D"/>
    <w:rsid w:val="00FC2653"/>
    <w:rsid w:val="00FC6D08"/>
    <w:rsid w:val="00FD5210"/>
    <w:rsid w:val="00FE25D6"/>
    <w:rsid w:val="00FE2C7A"/>
    <w:rsid w:val="00FE3C29"/>
    <w:rsid w:val="00FE56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8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Body Text First Indent 2" w:uiPriority="0" w:qFormat="1"/>
    <w:lsdException w:name="Hyperlink" w:qFormat="1"/>
    <w:lsdException w:name="Strong" w:semiHidden="0"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34184"/>
    <w:pPr>
      <w:widowControl w:val="0"/>
      <w:jc w:val="both"/>
    </w:pPr>
    <w:rPr>
      <w:rFonts w:ascii="Calibri" w:eastAsia="宋体" w:hAnsi="Calibri" w:cs="Times New Roman"/>
      <w:szCs w:val="24"/>
    </w:rPr>
  </w:style>
  <w:style w:type="paragraph" w:styleId="1">
    <w:name w:val="heading 1"/>
    <w:basedOn w:val="a"/>
    <w:next w:val="a"/>
    <w:link w:val="1Char"/>
    <w:uiPriority w:val="9"/>
    <w:qFormat/>
    <w:rsid w:val="00934184"/>
    <w:pPr>
      <w:keepNext/>
      <w:keepLines/>
      <w:spacing w:before="340" w:after="330" w:line="578" w:lineRule="auto"/>
      <w:outlineLvl w:val="0"/>
    </w:pPr>
    <w:rPr>
      <w:rFonts w:ascii="Times New Roman" w:hAnsi="Times New Roman"/>
      <w:b/>
      <w:bCs/>
      <w:kern w:val="44"/>
      <w:sz w:val="44"/>
      <w:szCs w:val="44"/>
    </w:rPr>
  </w:style>
  <w:style w:type="paragraph" w:styleId="20">
    <w:name w:val="heading 2"/>
    <w:basedOn w:val="a"/>
    <w:next w:val="a"/>
    <w:link w:val="2Char"/>
    <w:uiPriority w:val="9"/>
    <w:unhideWhenUsed/>
    <w:qFormat/>
    <w:rsid w:val="0093418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
    <w:semiHidden/>
    <w:unhideWhenUsed/>
    <w:qFormat/>
    <w:rsid w:val="007B023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934184"/>
  </w:style>
  <w:style w:type="character" w:customStyle="1" w:styleId="Char">
    <w:name w:val="称呼 Char"/>
    <w:basedOn w:val="a0"/>
    <w:link w:val="a3"/>
    <w:rsid w:val="00934184"/>
    <w:rPr>
      <w:rFonts w:ascii="Calibri" w:eastAsia="宋体" w:hAnsi="Calibri" w:cs="Times New Roman"/>
      <w:szCs w:val="24"/>
    </w:rPr>
  </w:style>
  <w:style w:type="paragraph" w:styleId="a4">
    <w:name w:val="Body Text Indent"/>
    <w:basedOn w:val="a"/>
    <w:link w:val="Char0"/>
    <w:uiPriority w:val="99"/>
    <w:semiHidden/>
    <w:unhideWhenUsed/>
    <w:rsid w:val="00934184"/>
    <w:pPr>
      <w:spacing w:after="120"/>
      <w:ind w:leftChars="200" w:left="420"/>
    </w:pPr>
  </w:style>
  <w:style w:type="character" w:customStyle="1" w:styleId="Char0">
    <w:name w:val="正文文本缩进 Char"/>
    <w:basedOn w:val="a0"/>
    <w:link w:val="a4"/>
    <w:uiPriority w:val="99"/>
    <w:semiHidden/>
    <w:rsid w:val="00934184"/>
    <w:rPr>
      <w:rFonts w:ascii="Calibri" w:eastAsia="宋体" w:hAnsi="Calibri" w:cs="Times New Roman"/>
      <w:szCs w:val="24"/>
    </w:rPr>
  </w:style>
  <w:style w:type="paragraph" w:styleId="2">
    <w:name w:val="Body Text First Indent 2"/>
    <w:basedOn w:val="a4"/>
    <w:link w:val="2Char0"/>
    <w:qFormat/>
    <w:rsid w:val="00934184"/>
    <w:pPr>
      <w:ind w:left="0" w:firstLine="420"/>
    </w:pPr>
    <w:rPr>
      <w:rFonts w:ascii="仿宋_GB2312" w:eastAsia="仿宋_GB2312" w:cs="仿宋_GB2312"/>
      <w:sz w:val="32"/>
      <w:szCs w:val="32"/>
    </w:rPr>
  </w:style>
  <w:style w:type="character" w:customStyle="1" w:styleId="2Char0">
    <w:name w:val="正文首行缩进 2 Char"/>
    <w:basedOn w:val="Char0"/>
    <w:link w:val="2"/>
    <w:rsid w:val="00934184"/>
    <w:rPr>
      <w:rFonts w:ascii="仿宋_GB2312" w:eastAsia="仿宋_GB2312" w:hAnsi="Calibri" w:cs="仿宋_GB2312"/>
      <w:sz w:val="32"/>
      <w:szCs w:val="32"/>
    </w:rPr>
  </w:style>
  <w:style w:type="character" w:customStyle="1" w:styleId="1Char">
    <w:name w:val="标题 1 Char"/>
    <w:basedOn w:val="a0"/>
    <w:link w:val="1"/>
    <w:uiPriority w:val="9"/>
    <w:qFormat/>
    <w:rsid w:val="00934184"/>
    <w:rPr>
      <w:rFonts w:ascii="Times New Roman" w:eastAsia="宋体" w:hAnsi="Times New Roman" w:cs="Times New Roman"/>
      <w:b/>
      <w:bCs/>
      <w:kern w:val="44"/>
      <w:sz w:val="44"/>
      <w:szCs w:val="44"/>
    </w:rPr>
  </w:style>
  <w:style w:type="paragraph" w:styleId="a5">
    <w:name w:val="Body Text"/>
    <w:basedOn w:val="a"/>
    <w:link w:val="Char1"/>
    <w:uiPriority w:val="99"/>
    <w:unhideWhenUsed/>
    <w:rsid w:val="00934184"/>
    <w:pPr>
      <w:spacing w:after="120"/>
    </w:pPr>
  </w:style>
  <w:style w:type="character" w:customStyle="1" w:styleId="Char1">
    <w:name w:val="正文文本 Char"/>
    <w:basedOn w:val="a0"/>
    <w:link w:val="a5"/>
    <w:uiPriority w:val="99"/>
    <w:rsid w:val="00934184"/>
    <w:rPr>
      <w:rFonts w:ascii="Calibri" w:eastAsia="宋体" w:hAnsi="Calibri" w:cs="Times New Roman"/>
      <w:szCs w:val="24"/>
    </w:rPr>
  </w:style>
  <w:style w:type="character" w:customStyle="1" w:styleId="2Char">
    <w:name w:val="标题 2 Char"/>
    <w:basedOn w:val="a0"/>
    <w:link w:val="20"/>
    <w:uiPriority w:val="9"/>
    <w:qFormat/>
    <w:rsid w:val="00934184"/>
    <w:rPr>
      <w:rFonts w:asciiTheme="majorHAnsi" w:eastAsiaTheme="majorEastAsia" w:hAnsiTheme="majorHAnsi" w:cstheme="majorBidi"/>
      <w:b/>
      <w:bCs/>
      <w:sz w:val="32"/>
      <w:szCs w:val="32"/>
    </w:rPr>
  </w:style>
  <w:style w:type="paragraph" w:styleId="a6">
    <w:name w:val="List Paragraph"/>
    <w:basedOn w:val="a"/>
    <w:uiPriority w:val="99"/>
    <w:qFormat/>
    <w:rsid w:val="00D81402"/>
    <w:pPr>
      <w:ind w:firstLineChars="200" w:firstLine="420"/>
    </w:pPr>
    <w:rPr>
      <w:rFonts w:ascii="Times New Roman" w:hAnsi="Times New Roman"/>
      <w:szCs w:val="21"/>
    </w:rPr>
  </w:style>
  <w:style w:type="paragraph" w:styleId="a7">
    <w:name w:val="Balloon Text"/>
    <w:basedOn w:val="a"/>
    <w:link w:val="Char2"/>
    <w:uiPriority w:val="99"/>
    <w:semiHidden/>
    <w:unhideWhenUsed/>
    <w:rsid w:val="00D81402"/>
    <w:rPr>
      <w:sz w:val="18"/>
      <w:szCs w:val="18"/>
    </w:rPr>
  </w:style>
  <w:style w:type="character" w:customStyle="1" w:styleId="Char2">
    <w:name w:val="批注框文本 Char"/>
    <w:basedOn w:val="a0"/>
    <w:link w:val="a7"/>
    <w:uiPriority w:val="99"/>
    <w:semiHidden/>
    <w:rsid w:val="00D81402"/>
    <w:rPr>
      <w:rFonts w:ascii="Calibri" w:eastAsia="宋体" w:hAnsi="Calibri" w:cs="Times New Roman"/>
      <w:sz w:val="18"/>
      <w:szCs w:val="18"/>
    </w:rPr>
  </w:style>
  <w:style w:type="paragraph" w:styleId="a8">
    <w:name w:val="header"/>
    <w:basedOn w:val="a"/>
    <w:link w:val="Char3"/>
    <w:uiPriority w:val="99"/>
    <w:semiHidden/>
    <w:unhideWhenUsed/>
    <w:rsid w:val="00276E0C"/>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8"/>
    <w:uiPriority w:val="99"/>
    <w:semiHidden/>
    <w:rsid w:val="00276E0C"/>
    <w:rPr>
      <w:rFonts w:ascii="Calibri" w:eastAsia="宋体" w:hAnsi="Calibri" w:cs="Times New Roman"/>
      <w:sz w:val="18"/>
      <w:szCs w:val="18"/>
    </w:rPr>
  </w:style>
  <w:style w:type="paragraph" w:styleId="a9">
    <w:name w:val="footer"/>
    <w:basedOn w:val="a"/>
    <w:link w:val="Char4"/>
    <w:uiPriority w:val="99"/>
    <w:unhideWhenUsed/>
    <w:rsid w:val="00276E0C"/>
    <w:pPr>
      <w:tabs>
        <w:tab w:val="center" w:pos="4153"/>
        <w:tab w:val="right" w:pos="8306"/>
      </w:tabs>
      <w:snapToGrid w:val="0"/>
      <w:jc w:val="left"/>
    </w:pPr>
    <w:rPr>
      <w:sz w:val="18"/>
      <w:szCs w:val="18"/>
    </w:rPr>
  </w:style>
  <w:style w:type="character" w:customStyle="1" w:styleId="Char4">
    <w:name w:val="页脚 Char"/>
    <w:basedOn w:val="a0"/>
    <w:link w:val="a9"/>
    <w:uiPriority w:val="99"/>
    <w:rsid w:val="00276E0C"/>
    <w:rPr>
      <w:rFonts w:ascii="Calibri" w:eastAsia="宋体" w:hAnsi="Calibri" w:cs="Times New Roman"/>
      <w:sz w:val="18"/>
      <w:szCs w:val="18"/>
    </w:rPr>
  </w:style>
  <w:style w:type="character" w:styleId="aa">
    <w:name w:val="Strong"/>
    <w:basedOn w:val="a0"/>
    <w:uiPriority w:val="99"/>
    <w:qFormat/>
    <w:rsid w:val="00387396"/>
    <w:rPr>
      <w:b/>
      <w:bCs/>
    </w:rPr>
  </w:style>
  <w:style w:type="paragraph" w:customStyle="1" w:styleId="Style2">
    <w:name w:val="_Style 2"/>
    <w:basedOn w:val="a"/>
    <w:rsid w:val="007A3333"/>
    <w:pPr>
      <w:spacing w:line="240" w:lineRule="atLeast"/>
      <w:ind w:left="420" w:firstLine="420"/>
    </w:pPr>
    <w:rPr>
      <w:rFonts w:ascii="Times New Roman" w:hAnsi="Times New Roman"/>
      <w:kern w:val="0"/>
      <w:szCs w:val="21"/>
    </w:rPr>
  </w:style>
  <w:style w:type="paragraph" w:customStyle="1" w:styleId="Default">
    <w:name w:val="Default"/>
    <w:uiPriority w:val="99"/>
    <w:rsid w:val="00794320"/>
    <w:pPr>
      <w:widowControl w:val="0"/>
      <w:autoSpaceDE w:val="0"/>
      <w:autoSpaceDN w:val="0"/>
      <w:adjustRightInd w:val="0"/>
    </w:pPr>
    <w:rPr>
      <w:rFonts w:ascii="仿宋" w:eastAsia="仿宋" w:hAnsi="Calibri" w:cs="仿宋"/>
      <w:color w:val="000000"/>
      <w:kern w:val="0"/>
      <w:sz w:val="24"/>
      <w:szCs w:val="24"/>
    </w:rPr>
  </w:style>
  <w:style w:type="character" w:customStyle="1" w:styleId="4Char">
    <w:name w:val="标题 4 Char"/>
    <w:basedOn w:val="a0"/>
    <w:link w:val="4"/>
    <w:uiPriority w:val="99"/>
    <w:rsid w:val="007B0230"/>
    <w:rPr>
      <w:rFonts w:asciiTheme="majorHAnsi" w:eastAsiaTheme="majorEastAsia" w:hAnsiTheme="majorHAnsi" w:cstheme="majorBidi"/>
      <w:b/>
      <w:bCs/>
      <w:sz w:val="28"/>
      <w:szCs w:val="28"/>
    </w:rPr>
  </w:style>
  <w:style w:type="paragraph" w:styleId="10">
    <w:name w:val="toc 1"/>
    <w:basedOn w:val="a"/>
    <w:next w:val="a"/>
    <w:uiPriority w:val="39"/>
    <w:unhideWhenUsed/>
    <w:qFormat/>
    <w:rsid w:val="00917C40"/>
    <w:pPr>
      <w:tabs>
        <w:tab w:val="right" w:leader="dot" w:pos="8296"/>
      </w:tabs>
      <w:spacing w:before="93"/>
      <w:jc w:val="center"/>
    </w:pPr>
    <w:rPr>
      <w:rFonts w:ascii="仿宋" w:eastAsia="仿宋" w:hAnsi="仿宋"/>
      <w:sz w:val="28"/>
      <w:szCs w:val="28"/>
    </w:rPr>
  </w:style>
  <w:style w:type="paragraph" w:styleId="21">
    <w:name w:val="toc 2"/>
    <w:basedOn w:val="a"/>
    <w:next w:val="a"/>
    <w:uiPriority w:val="39"/>
    <w:unhideWhenUsed/>
    <w:qFormat/>
    <w:rsid w:val="00917C40"/>
    <w:pPr>
      <w:tabs>
        <w:tab w:val="right" w:leader="dot" w:pos="8296"/>
      </w:tabs>
      <w:ind w:leftChars="200" w:left="420"/>
    </w:pPr>
    <w:rPr>
      <w:rFonts w:ascii="Times New Roman" w:hAnsi="Times New Roman"/>
    </w:rPr>
  </w:style>
  <w:style w:type="character" w:styleId="ab">
    <w:name w:val="Hyperlink"/>
    <w:basedOn w:val="a0"/>
    <w:uiPriority w:val="99"/>
    <w:unhideWhenUsed/>
    <w:qFormat/>
    <w:rsid w:val="00917C40"/>
    <w:rPr>
      <w:color w:val="0000FF" w:themeColor="hyperlink"/>
      <w:u w:val="single"/>
    </w:rPr>
  </w:style>
  <w:style w:type="character" w:customStyle="1" w:styleId="BodyTextChar">
    <w:name w:val="Body Text Char"/>
    <w:uiPriority w:val="99"/>
    <w:semiHidden/>
    <w:qFormat/>
    <w:rsid w:val="003444CF"/>
    <w:rPr>
      <w:rFonts w:ascii="Times New Roman" w:hAnsi="Times New Roman" w:cs="Times New Roman"/>
      <w:sz w:val="24"/>
      <w:szCs w:val="24"/>
    </w:rPr>
  </w:style>
  <w:style w:type="paragraph" w:styleId="ac">
    <w:name w:val="Document Map"/>
    <w:basedOn w:val="a"/>
    <w:link w:val="Char5"/>
    <w:uiPriority w:val="99"/>
    <w:semiHidden/>
    <w:unhideWhenUsed/>
    <w:rsid w:val="00CC6A4A"/>
    <w:rPr>
      <w:rFonts w:ascii="宋体"/>
      <w:sz w:val="18"/>
      <w:szCs w:val="18"/>
    </w:rPr>
  </w:style>
  <w:style w:type="character" w:customStyle="1" w:styleId="Char5">
    <w:name w:val="文档结构图 Char"/>
    <w:basedOn w:val="a0"/>
    <w:link w:val="ac"/>
    <w:uiPriority w:val="99"/>
    <w:semiHidden/>
    <w:rsid w:val="00CC6A4A"/>
    <w:rPr>
      <w:rFonts w:ascii="宋体" w:eastAsia="宋体" w:hAnsi="Calibri" w:cs="Times New Roman"/>
      <w:sz w:val="18"/>
      <w:szCs w:val="18"/>
    </w:rPr>
  </w:style>
  <w:style w:type="paragraph" w:customStyle="1" w:styleId="ad">
    <w:name w:val="四号正文"/>
    <w:basedOn w:val="a"/>
    <w:link w:val="Char6"/>
    <w:rsid w:val="000A5238"/>
    <w:pPr>
      <w:spacing w:line="360" w:lineRule="auto"/>
    </w:pPr>
    <w:rPr>
      <w:rFonts w:ascii="??" w:hAnsi="??" w:cs="宋体"/>
      <w:color w:val="000000"/>
      <w:kern w:val="0"/>
      <w:sz w:val="28"/>
      <w:szCs w:val="21"/>
    </w:rPr>
  </w:style>
  <w:style w:type="character" w:customStyle="1" w:styleId="Char6">
    <w:name w:val="四号正文 Char"/>
    <w:basedOn w:val="a0"/>
    <w:link w:val="ad"/>
    <w:rsid w:val="000A5238"/>
    <w:rPr>
      <w:rFonts w:ascii="??" w:eastAsia="宋体" w:hAnsi="??" w:cs="宋体"/>
      <w:color w:val="000000"/>
      <w:kern w:val="0"/>
      <w:sz w:val="28"/>
      <w:szCs w:val="21"/>
    </w:rPr>
  </w:style>
</w:styles>
</file>

<file path=word/webSettings.xml><?xml version="1.0" encoding="utf-8"?>
<w:webSettings xmlns:r="http://schemas.openxmlformats.org/officeDocument/2006/relationships" xmlns:w="http://schemas.openxmlformats.org/wordprocessingml/2006/main">
  <w:divs>
    <w:div w:id="141191556">
      <w:bodyDiv w:val="1"/>
      <w:marLeft w:val="0"/>
      <w:marRight w:val="0"/>
      <w:marTop w:val="0"/>
      <w:marBottom w:val="0"/>
      <w:divBdr>
        <w:top w:val="none" w:sz="0" w:space="0" w:color="auto"/>
        <w:left w:val="none" w:sz="0" w:space="0" w:color="auto"/>
        <w:bottom w:val="none" w:sz="0" w:space="0" w:color="auto"/>
        <w:right w:val="none" w:sz="0" w:space="0" w:color="auto"/>
      </w:divBdr>
    </w:div>
    <w:div w:id="417144137">
      <w:bodyDiv w:val="1"/>
      <w:marLeft w:val="0"/>
      <w:marRight w:val="0"/>
      <w:marTop w:val="0"/>
      <w:marBottom w:val="0"/>
      <w:divBdr>
        <w:top w:val="none" w:sz="0" w:space="0" w:color="auto"/>
        <w:left w:val="none" w:sz="0" w:space="0" w:color="auto"/>
        <w:bottom w:val="none" w:sz="0" w:space="0" w:color="auto"/>
        <w:right w:val="none" w:sz="0" w:space="0" w:color="auto"/>
      </w:divBdr>
    </w:div>
    <w:div w:id="684864904">
      <w:bodyDiv w:val="1"/>
      <w:marLeft w:val="0"/>
      <w:marRight w:val="0"/>
      <w:marTop w:val="0"/>
      <w:marBottom w:val="0"/>
      <w:divBdr>
        <w:top w:val="none" w:sz="0" w:space="0" w:color="auto"/>
        <w:left w:val="none" w:sz="0" w:space="0" w:color="auto"/>
        <w:bottom w:val="none" w:sz="0" w:space="0" w:color="auto"/>
        <w:right w:val="none" w:sz="0" w:space="0" w:color="auto"/>
      </w:divBdr>
    </w:div>
    <w:div w:id="830410506">
      <w:bodyDiv w:val="1"/>
      <w:marLeft w:val="0"/>
      <w:marRight w:val="0"/>
      <w:marTop w:val="0"/>
      <w:marBottom w:val="0"/>
      <w:divBdr>
        <w:top w:val="none" w:sz="0" w:space="0" w:color="auto"/>
        <w:left w:val="none" w:sz="0" w:space="0" w:color="auto"/>
        <w:bottom w:val="none" w:sz="0" w:space="0" w:color="auto"/>
        <w:right w:val="none" w:sz="0" w:space="0" w:color="auto"/>
      </w:divBdr>
    </w:div>
    <w:div w:id="958486345">
      <w:bodyDiv w:val="1"/>
      <w:marLeft w:val="0"/>
      <w:marRight w:val="0"/>
      <w:marTop w:val="0"/>
      <w:marBottom w:val="0"/>
      <w:divBdr>
        <w:top w:val="none" w:sz="0" w:space="0" w:color="auto"/>
        <w:left w:val="none" w:sz="0" w:space="0" w:color="auto"/>
        <w:bottom w:val="none" w:sz="0" w:space="0" w:color="auto"/>
        <w:right w:val="none" w:sz="0" w:space="0" w:color="auto"/>
      </w:divBdr>
    </w:div>
    <w:div w:id="1185441744">
      <w:bodyDiv w:val="1"/>
      <w:marLeft w:val="0"/>
      <w:marRight w:val="0"/>
      <w:marTop w:val="0"/>
      <w:marBottom w:val="0"/>
      <w:divBdr>
        <w:top w:val="none" w:sz="0" w:space="0" w:color="auto"/>
        <w:left w:val="none" w:sz="0" w:space="0" w:color="auto"/>
        <w:bottom w:val="none" w:sz="0" w:space="0" w:color="auto"/>
        <w:right w:val="none" w:sz="0" w:space="0" w:color="auto"/>
      </w:divBdr>
    </w:div>
    <w:div w:id="1706830762">
      <w:bodyDiv w:val="1"/>
      <w:marLeft w:val="0"/>
      <w:marRight w:val="0"/>
      <w:marTop w:val="0"/>
      <w:marBottom w:val="0"/>
      <w:divBdr>
        <w:top w:val="none" w:sz="0" w:space="0" w:color="auto"/>
        <w:left w:val="none" w:sz="0" w:space="0" w:color="auto"/>
        <w:bottom w:val="none" w:sz="0" w:space="0" w:color="auto"/>
        <w:right w:val="none" w:sz="0" w:space="0" w:color="auto"/>
      </w:divBdr>
    </w:div>
    <w:div w:id="1785924795">
      <w:bodyDiv w:val="1"/>
      <w:marLeft w:val="0"/>
      <w:marRight w:val="0"/>
      <w:marTop w:val="0"/>
      <w:marBottom w:val="0"/>
      <w:divBdr>
        <w:top w:val="none" w:sz="0" w:space="0" w:color="auto"/>
        <w:left w:val="none" w:sz="0" w:space="0" w:color="auto"/>
        <w:bottom w:val="none" w:sz="0" w:space="0" w:color="auto"/>
        <w:right w:val="none" w:sz="0" w:space="0" w:color="auto"/>
      </w:divBdr>
    </w:div>
    <w:div w:id="185128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3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9553249093357911E-2"/>
          <c:y val="3.3095230184834602E-2"/>
          <c:w val="0.9204467509066353"/>
          <c:h val="0.72789115646260538"/>
        </c:manualLayout>
      </c:layout>
      <c:bar3DChart>
        <c:barDir val="col"/>
        <c:grouping val="clustered"/>
        <c:ser>
          <c:idx val="0"/>
          <c:order val="0"/>
          <c:tx>
            <c:strRef>
              <c:f>Sheet1!$A$2</c:f>
              <c:strCache>
                <c:ptCount val="1"/>
                <c:pt idx="0">
                  <c:v>2020年</c:v>
                </c:pt>
              </c:strCache>
            </c:strRef>
          </c:tx>
          <c:spPr>
            <a:solidFill>
              <a:srgbClr val="9999FF"/>
            </a:solidFill>
            <a:ln w="12726">
              <a:solidFill>
                <a:srgbClr val="000000"/>
              </a:solidFill>
              <a:prstDash val="solid"/>
            </a:ln>
          </c:spPr>
          <c:dLbls>
            <c:dLbl>
              <c:idx val="0"/>
              <c:layout>
                <c:manualLayout>
                  <c:x val="0"/>
                  <c:y val="0.1624850657108722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60C-402F-9652-D2EEF2508EE0}"/>
                </c:ext>
              </c:extLst>
            </c:dLbl>
            <c:dLbl>
              <c:idx val="1"/>
              <c:layout>
                <c:manualLayout>
                  <c:x val="6.9485669264628975E-3"/>
                  <c:y val="0.229390681003584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60C-402F-9652-D2EEF2508EE0}"/>
                </c:ext>
              </c:extLst>
            </c:dLbl>
            <c:spPr>
              <a:noFill/>
              <a:ln w="25451">
                <a:noFill/>
              </a:ln>
            </c:spPr>
            <c:txPr>
              <a:bodyPr/>
              <a:lstStyle/>
              <a:p>
                <a:pPr>
                  <a:defRPr sz="802" b="0" i="0" u="none" strike="noStrike" baseline="0">
                    <a:solidFill>
                      <a:srgbClr val="000000"/>
                    </a:solidFill>
                    <a:latin typeface="宋体"/>
                    <a:ea typeface="宋体"/>
                    <a:cs typeface="宋体"/>
                  </a:defRPr>
                </a:pPr>
                <a:endParaRPr lang="zh-CN"/>
              </a:p>
            </c:tx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收入</c:v>
                </c:pt>
                <c:pt idx="1">
                  <c:v>支出</c:v>
                </c:pt>
              </c:strCache>
            </c:strRef>
          </c:cat>
          <c:val>
            <c:numRef>
              <c:f>Sheet1!$B$2:$C$2</c:f>
              <c:numCache>
                <c:formatCode>General</c:formatCode>
                <c:ptCount val="2"/>
                <c:pt idx="0">
                  <c:v>7145.8600000000024</c:v>
                </c:pt>
                <c:pt idx="1">
                  <c:v>7106.35</c:v>
                </c:pt>
              </c:numCache>
            </c:numRef>
          </c:val>
          <c:extLst xmlns:c16r2="http://schemas.microsoft.com/office/drawing/2015/06/chart">
            <c:ext xmlns:c16="http://schemas.microsoft.com/office/drawing/2014/chart" uri="{C3380CC4-5D6E-409C-BE32-E72D297353CC}">
              <c16:uniqueId val="{00000002-B60C-402F-9652-D2EEF2508EE0}"/>
            </c:ext>
          </c:extLst>
        </c:ser>
        <c:ser>
          <c:idx val="1"/>
          <c:order val="1"/>
          <c:tx>
            <c:strRef>
              <c:f>Sheet1!$A$3</c:f>
              <c:strCache>
                <c:ptCount val="1"/>
                <c:pt idx="0">
                  <c:v>2021年</c:v>
                </c:pt>
              </c:strCache>
            </c:strRef>
          </c:tx>
          <c:spPr>
            <a:solidFill>
              <a:srgbClr val="993366"/>
            </a:solidFill>
            <a:ln w="12726">
              <a:solidFill>
                <a:srgbClr val="000000"/>
              </a:solidFill>
              <a:prstDash val="solid"/>
            </a:ln>
          </c:spPr>
          <c:dLbls>
            <c:dLbl>
              <c:idx val="0"/>
              <c:layout>
                <c:manualLayout>
                  <c:x val="-2.3161889754876081E-3"/>
                  <c:y val="0.1529271206690561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60C-402F-9652-D2EEF2508EE0}"/>
                </c:ext>
              </c:extLst>
            </c:dLbl>
            <c:dLbl>
              <c:idx val="1"/>
              <c:layout>
                <c:manualLayout>
                  <c:x val="4.6323779509752161E-3"/>
                  <c:y val="0.1099163679808841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60C-402F-9652-D2EEF2508EE0}"/>
                </c:ext>
              </c:extLst>
            </c:dLbl>
            <c:spPr>
              <a:noFill/>
              <a:ln w="25451">
                <a:noFill/>
              </a:ln>
            </c:spPr>
            <c:txPr>
              <a:bodyPr/>
              <a:lstStyle/>
              <a:p>
                <a:pPr>
                  <a:defRPr sz="802" b="0" i="0" u="none" strike="noStrike" baseline="0">
                    <a:solidFill>
                      <a:srgbClr val="000000"/>
                    </a:solidFill>
                    <a:latin typeface="宋体"/>
                    <a:ea typeface="宋体"/>
                    <a:cs typeface="宋体"/>
                  </a:defRPr>
                </a:pPr>
                <a:endParaRPr lang="zh-CN"/>
              </a:p>
            </c:tx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收入</c:v>
                </c:pt>
                <c:pt idx="1">
                  <c:v>支出</c:v>
                </c:pt>
              </c:strCache>
            </c:strRef>
          </c:cat>
          <c:val>
            <c:numRef>
              <c:f>Sheet1!$B$3:$C$3</c:f>
              <c:numCache>
                <c:formatCode>General</c:formatCode>
                <c:ptCount val="2"/>
                <c:pt idx="0">
                  <c:v>8726.3799999999355</c:v>
                </c:pt>
                <c:pt idx="1">
                  <c:v>8799.17</c:v>
                </c:pt>
              </c:numCache>
            </c:numRef>
          </c:val>
          <c:extLst xmlns:c16r2="http://schemas.microsoft.com/office/drawing/2015/06/chart">
            <c:ext xmlns:c16="http://schemas.microsoft.com/office/drawing/2014/chart" uri="{C3380CC4-5D6E-409C-BE32-E72D297353CC}">
              <c16:uniqueId val="{00000005-B60C-402F-9652-D2EEF2508EE0}"/>
            </c:ext>
          </c:extLst>
        </c:ser>
        <c:dLbls>
          <c:showVal val="1"/>
        </c:dLbls>
        <c:gapDepth val="0"/>
        <c:shape val="box"/>
        <c:axId val="242677632"/>
        <c:axId val="242679168"/>
        <c:axId val="0"/>
      </c:bar3DChart>
      <c:catAx>
        <c:axId val="242677632"/>
        <c:scaling>
          <c:orientation val="minMax"/>
        </c:scaling>
        <c:axPos val="b"/>
        <c:numFmt formatCode="General" sourceLinked="1"/>
        <c:majorTickMark val="in"/>
        <c:tickLblPos val="low"/>
        <c:spPr>
          <a:ln w="3181">
            <a:solidFill>
              <a:srgbClr val="000000"/>
            </a:solidFill>
            <a:prstDash val="solid"/>
          </a:ln>
        </c:spPr>
        <c:txPr>
          <a:bodyPr rot="0" vert="horz"/>
          <a:lstStyle/>
          <a:p>
            <a:pPr>
              <a:defRPr sz="802" b="0" i="0" u="none" strike="noStrike" baseline="0">
                <a:solidFill>
                  <a:srgbClr val="000000"/>
                </a:solidFill>
                <a:latin typeface="宋体"/>
                <a:ea typeface="宋体"/>
                <a:cs typeface="宋体"/>
              </a:defRPr>
            </a:pPr>
            <a:endParaRPr lang="zh-CN"/>
          </a:p>
        </c:txPr>
        <c:crossAx val="242679168"/>
        <c:crosses val="autoZero"/>
        <c:auto val="1"/>
        <c:lblAlgn val="ctr"/>
        <c:lblOffset val="100"/>
        <c:tickLblSkip val="1"/>
        <c:tickMarkSkip val="1"/>
      </c:catAx>
      <c:valAx>
        <c:axId val="242679168"/>
        <c:scaling>
          <c:orientation val="minMax"/>
        </c:scaling>
        <c:axPos val="l"/>
        <c:majorGridlines>
          <c:spPr>
            <a:ln w="3181">
              <a:solidFill>
                <a:srgbClr val="000000"/>
              </a:solidFill>
              <a:prstDash val="solid"/>
            </a:ln>
          </c:spPr>
        </c:majorGridlines>
        <c:numFmt formatCode="General" sourceLinked="1"/>
        <c:majorTickMark val="in"/>
        <c:tickLblPos val="nextTo"/>
        <c:spPr>
          <a:ln w="3181">
            <a:solidFill>
              <a:srgbClr val="000000"/>
            </a:solidFill>
            <a:prstDash val="solid"/>
          </a:ln>
        </c:spPr>
        <c:txPr>
          <a:bodyPr rot="0" vert="horz"/>
          <a:lstStyle/>
          <a:p>
            <a:pPr>
              <a:defRPr sz="802" b="0" i="0" u="none" strike="noStrike" baseline="0">
                <a:solidFill>
                  <a:srgbClr val="000000"/>
                </a:solidFill>
                <a:latin typeface="宋体"/>
                <a:ea typeface="宋体"/>
                <a:cs typeface="宋体"/>
              </a:defRPr>
            </a:pPr>
            <a:endParaRPr lang="zh-CN"/>
          </a:p>
        </c:txPr>
        <c:crossAx val="242677632"/>
        <c:crosses val="autoZero"/>
        <c:crossBetween val="between"/>
      </c:valAx>
      <c:spPr>
        <a:noFill/>
        <a:ln w="25451">
          <a:noFill/>
        </a:ln>
      </c:spPr>
    </c:plotArea>
    <c:legend>
      <c:legendPos val="r"/>
      <c:layout>
        <c:manualLayout>
          <c:xMode val="edge"/>
          <c:yMode val="edge"/>
          <c:x val="0.8599074071541144"/>
          <c:y val="0.75573580184197464"/>
          <c:w val="8.7716812157986268E-2"/>
          <c:h val="0.22448979591836743"/>
        </c:manualLayout>
      </c:layout>
      <c:spPr>
        <a:noFill/>
        <a:ln w="3181">
          <a:solidFill>
            <a:srgbClr val="000000"/>
          </a:solidFill>
          <a:prstDash val="solid"/>
        </a:ln>
      </c:spPr>
      <c:txPr>
        <a:bodyPr/>
        <a:lstStyle/>
        <a:p>
          <a:pPr>
            <a:defRPr sz="736"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802" b="0" i="0" u="none" strike="noStrike" baseline="0">
          <a:solidFill>
            <a:srgbClr val="000000"/>
          </a:solidFill>
          <a:latin typeface="宋体"/>
          <a:ea typeface="宋体"/>
          <a:cs typeface="宋体"/>
        </a:defRPr>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9.9611765396795726E-2"/>
          <c:y val="9.2748825885305253E-2"/>
          <c:w val="0.35206599175103132"/>
          <c:h val="0.83778684217542165"/>
        </c:manualLayout>
      </c:layout>
      <c:pieChart>
        <c:varyColors val="1"/>
        <c:ser>
          <c:idx val="0"/>
          <c:order val="0"/>
          <c:tx>
            <c:strRef>
              <c:f>Sheet1!$A$2</c:f>
              <c:strCache>
                <c:ptCount val="1"/>
                <c:pt idx="0">
                  <c:v>收入</c:v>
                </c:pt>
              </c:strCache>
            </c:strRef>
          </c:tx>
          <c:explosion val="67"/>
          <c:dLbls>
            <c:dLbl>
              <c:idx val="0"/>
              <c:layout>
                <c:manualLayout>
                  <c:x val="0.10227194492254769"/>
                  <c:y val="-0.13263948551373492"/>
                </c:manualLayout>
              </c:layout>
              <c:dLblPos val="bestFit"/>
              <c:showVal val="1"/>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99F-48F9-953B-2A3511C625FD}"/>
                </c:ext>
              </c:extLst>
            </c:dLbl>
            <c:spPr>
              <a:noFill/>
              <a:ln w="33260">
                <a:noFill/>
              </a:ln>
            </c:spPr>
            <c:txPr>
              <a:bodyPr/>
              <a:lstStyle/>
              <a:p>
                <a:pPr>
                  <a:defRPr sz="1048" b="0" i="0" u="none" strike="noStrike" baseline="0">
                    <a:solidFill>
                      <a:srgbClr val="000000"/>
                    </a:solidFill>
                    <a:latin typeface="宋体"/>
                    <a:ea typeface="宋体"/>
                    <a:cs typeface="宋体"/>
                  </a:defRPr>
                </a:pPr>
                <a:endParaRPr lang="zh-CN"/>
              </a:p>
            </c:txPr>
            <c:dLblPos val="bestFit"/>
            <c:showVal val="1"/>
            <c:showPercent val="1"/>
            <c:showLeaderLines val="1"/>
            <c:extLst xmlns:c16r2="http://schemas.microsoft.com/office/drawing/2015/06/chart">
              <c:ext xmlns:c15="http://schemas.microsoft.com/office/drawing/2012/chart" uri="{CE6537A1-D6FC-4f65-9D91-7224C49458BB}"/>
            </c:extLst>
          </c:dLbls>
          <c:cat>
            <c:strRef>
              <c:f>Sheet1!$B$1:$C$1</c:f>
              <c:strCache>
                <c:ptCount val="1"/>
                <c:pt idx="0">
                  <c:v>一般公共预算财政拨款收入</c:v>
                </c:pt>
              </c:strCache>
            </c:strRef>
          </c:cat>
          <c:val>
            <c:numRef>
              <c:f>Sheet1!$B$2:$C$2</c:f>
              <c:numCache>
                <c:formatCode>General</c:formatCode>
                <c:ptCount val="2"/>
                <c:pt idx="0">
                  <c:v>8726.3799999999355</c:v>
                </c:pt>
              </c:numCache>
            </c:numRef>
          </c:val>
          <c:extLst xmlns:c16r2="http://schemas.microsoft.com/office/drawing/2015/06/chart">
            <c:ext xmlns:c16="http://schemas.microsoft.com/office/drawing/2014/chart" uri="{C3380CC4-5D6E-409C-BE32-E72D297353CC}">
              <c16:uniqueId val="{00000001-199F-48F9-953B-2A3511C625FD}"/>
            </c:ext>
          </c:extLst>
        </c:ser>
        <c:dLbls>
          <c:showVal val="1"/>
        </c:dLbls>
        <c:firstSliceAng val="51"/>
      </c:pieChart>
      <c:spPr>
        <a:solidFill>
          <a:srgbClr val="C0C0C0"/>
        </a:solidFill>
        <a:ln w="16630">
          <a:solidFill>
            <a:srgbClr val="808080"/>
          </a:solidFill>
          <a:prstDash val="solid"/>
        </a:ln>
      </c:spPr>
    </c:plotArea>
    <c:legend>
      <c:legendPos val="r"/>
      <c:layout>
        <c:manualLayout>
          <c:xMode val="edge"/>
          <c:yMode val="edge"/>
          <c:x val="0.67082294264341369"/>
          <c:y val="0.21052631578947656"/>
          <c:w val="0.31920199501247737"/>
          <c:h val="0.57894736842105254"/>
        </c:manualLayout>
      </c:layout>
      <c:spPr>
        <a:noFill/>
        <a:ln w="4157">
          <a:solidFill>
            <a:srgbClr val="000000"/>
          </a:solidFill>
          <a:prstDash val="solid"/>
        </a:ln>
      </c:spPr>
      <c:txPr>
        <a:bodyPr/>
        <a:lstStyle/>
        <a:p>
          <a:pPr>
            <a:defRPr sz="962"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48" b="0" i="0" u="none" strike="noStrike" baseline="0">
          <a:solidFill>
            <a:srgbClr val="000000"/>
          </a:solidFill>
          <a:latin typeface="宋体"/>
          <a:ea typeface="宋体"/>
          <a:cs typeface="宋体"/>
        </a:defRPr>
      </a:pPr>
      <a:endParaRPr lang="zh-CN"/>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0.16571459242441341"/>
          <c:y val="3.9689884918231375E-2"/>
          <c:w val="0.38839905747977832"/>
          <c:h val="0.8919340467057002"/>
        </c:manualLayout>
      </c:layout>
      <c:pieChart>
        <c:varyColors val="1"/>
        <c:ser>
          <c:idx val="0"/>
          <c:order val="0"/>
          <c:tx>
            <c:strRef>
              <c:f>Sheet1!$A$2</c:f>
              <c:strCache>
                <c:ptCount val="1"/>
                <c:pt idx="0">
                  <c:v>2021年支出</c:v>
                </c:pt>
              </c:strCache>
            </c:strRef>
          </c:tx>
          <c:spPr>
            <a:solidFill>
              <a:srgbClr val="9999FF"/>
            </a:solidFill>
            <a:ln w="16040">
              <a:solidFill>
                <a:srgbClr val="000000"/>
              </a:solidFill>
              <a:prstDash val="solid"/>
            </a:ln>
          </c:spPr>
          <c:dPt>
            <c:idx val="1"/>
            <c:spPr>
              <a:solidFill>
                <a:srgbClr val="993366"/>
              </a:solidFill>
              <a:ln w="16040">
                <a:solidFill>
                  <a:srgbClr val="000000"/>
                </a:solidFill>
                <a:prstDash val="solid"/>
              </a:ln>
            </c:spPr>
            <c:extLst xmlns:c16r2="http://schemas.microsoft.com/office/drawing/2015/06/chart">
              <c:ext xmlns:c16="http://schemas.microsoft.com/office/drawing/2014/chart" uri="{C3380CC4-5D6E-409C-BE32-E72D297353CC}">
                <c16:uniqueId val="{00000000-9B8A-4A26-91EB-B3D1E2D3BDF7}"/>
              </c:ext>
            </c:extLst>
          </c:dPt>
          <c:dLbls>
            <c:spPr>
              <a:noFill/>
              <a:ln w="32080">
                <a:noFill/>
              </a:ln>
            </c:spPr>
            <c:txPr>
              <a:bodyPr/>
              <a:lstStyle/>
              <a:p>
                <a:pPr>
                  <a:defRPr sz="1010" b="0" i="0" u="none" strike="noStrike" baseline="0">
                    <a:solidFill>
                      <a:srgbClr val="000000"/>
                    </a:solidFill>
                    <a:latin typeface="宋体"/>
                    <a:ea typeface="宋体"/>
                    <a:cs typeface="宋体"/>
                  </a:defRPr>
                </a:pPr>
                <a:endParaRPr lang="zh-CN"/>
              </a:p>
            </c:txPr>
            <c:showVal val="1"/>
            <c:showLeaderLines val="1"/>
            <c:extLst xmlns:c16r2="http://schemas.microsoft.com/office/drawing/2015/06/chart">
              <c:ext xmlns:c15="http://schemas.microsoft.com/office/drawing/2012/chart" uri="{CE6537A1-D6FC-4f65-9D91-7224C49458BB}"/>
            </c:extLst>
          </c:dLbls>
          <c:cat>
            <c:strRef>
              <c:f>Sheet1!$B$1:$C$1</c:f>
              <c:strCache>
                <c:ptCount val="2"/>
                <c:pt idx="0">
                  <c:v>基本支出</c:v>
                </c:pt>
                <c:pt idx="1">
                  <c:v>项目支出</c:v>
                </c:pt>
              </c:strCache>
            </c:strRef>
          </c:cat>
          <c:val>
            <c:numRef>
              <c:f>Sheet1!$B$2:$C$2</c:f>
              <c:numCache>
                <c:formatCode>General</c:formatCode>
                <c:ptCount val="2"/>
                <c:pt idx="0">
                  <c:v>5857.28</c:v>
                </c:pt>
                <c:pt idx="1">
                  <c:v>2941.8900000000012</c:v>
                </c:pt>
              </c:numCache>
            </c:numRef>
          </c:val>
          <c:extLst xmlns:c16r2="http://schemas.microsoft.com/office/drawing/2015/06/chart">
            <c:ext xmlns:c16="http://schemas.microsoft.com/office/drawing/2014/chart" uri="{C3380CC4-5D6E-409C-BE32-E72D297353CC}">
              <c16:uniqueId val="{00000001-9B8A-4A26-91EB-B3D1E2D3BDF7}"/>
            </c:ext>
          </c:extLst>
        </c:ser>
        <c:dLbls>
          <c:showVal val="1"/>
        </c:dLbls>
        <c:firstSliceAng val="0"/>
      </c:pieChart>
      <c:spPr>
        <a:solidFill>
          <a:srgbClr val="C0C0C0"/>
        </a:solidFill>
        <a:ln w="16040">
          <a:solidFill>
            <a:srgbClr val="808080"/>
          </a:solidFill>
          <a:prstDash val="solid"/>
        </a:ln>
      </c:spPr>
    </c:plotArea>
    <c:legend>
      <c:legendPos val="r"/>
      <c:layout>
        <c:manualLayout>
          <c:xMode val="edge"/>
          <c:yMode val="edge"/>
          <c:x val="0.64097966281823093"/>
          <c:y val="0.36337788545663074"/>
          <c:w val="0.13747228381374724"/>
          <c:h val="0.21854304635761906"/>
        </c:manualLayout>
      </c:layout>
      <c:spPr>
        <a:noFill/>
        <a:ln w="4010">
          <a:solidFill>
            <a:srgbClr val="000000"/>
          </a:solidFill>
          <a:prstDash val="solid"/>
        </a:ln>
      </c:spPr>
      <c:txPr>
        <a:bodyPr/>
        <a:lstStyle/>
        <a:p>
          <a:pPr>
            <a:defRPr sz="928"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10" b="0" i="0" u="none" strike="noStrike" baseline="0">
          <a:solidFill>
            <a:srgbClr val="000000"/>
          </a:solidFill>
          <a:latin typeface="宋体"/>
          <a:ea typeface="宋体"/>
          <a:cs typeface="宋体"/>
        </a:defRPr>
      </a:pPr>
      <a:endParaRPr lang="zh-CN"/>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44"/>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14719106265562959"/>
          <c:y val="5.8441825206631784E-2"/>
          <c:w val="0.7109375"/>
          <c:h val="0.74025974025974062"/>
        </c:manualLayout>
      </c:layout>
      <c:bar3DChart>
        <c:barDir val="col"/>
        <c:grouping val="clustered"/>
        <c:ser>
          <c:idx val="0"/>
          <c:order val="0"/>
          <c:tx>
            <c:strRef>
              <c:f>Sheet1!$A$2</c:f>
              <c:strCache>
                <c:ptCount val="1"/>
                <c:pt idx="0">
                  <c:v>2021年</c:v>
                </c:pt>
              </c:strCache>
            </c:strRef>
          </c:tx>
          <c:spPr>
            <a:solidFill>
              <a:srgbClr val="9999FF"/>
            </a:solidFill>
            <a:ln w="14846">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财政拨款收入</c:v>
                </c:pt>
                <c:pt idx="1">
                  <c:v>财政拨款支出</c:v>
                </c:pt>
              </c:strCache>
            </c:strRef>
          </c:cat>
          <c:val>
            <c:numRef>
              <c:f>Sheet1!$B$2:$C$2</c:f>
              <c:numCache>
                <c:formatCode>General</c:formatCode>
                <c:ptCount val="2"/>
                <c:pt idx="0">
                  <c:v>8726.3799999999355</c:v>
                </c:pt>
                <c:pt idx="1">
                  <c:v>8799.17</c:v>
                </c:pt>
              </c:numCache>
            </c:numRef>
          </c:val>
          <c:extLst xmlns:c16r2="http://schemas.microsoft.com/office/drawing/2015/06/chart">
            <c:ext xmlns:c16="http://schemas.microsoft.com/office/drawing/2014/chart" uri="{C3380CC4-5D6E-409C-BE32-E72D297353CC}">
              <c16:uniqueId val="{00000000-EA40-456E-83CA-F7A0C7574189}"/>
            </c:ext>
          </c:extLst>
        </c:ser>
        <c:ser>
          <c:idx val="1"/>
          <c:order val="1"/>
          <c:tx>
            <c:strRef>
              <c:f>Sheet1!$A$3</c:f>
              <c:strCache>
                <c:ptCount val="1"/>
                <c:pt idx="0">
                  <c:v>2020年</c:v>
                </c:pt>
              </c:strCache>
            </c:strRef>
          </c:tx>
          <c:spPr>
            <a:solidFill>
              <a:srgbClr val="993366"/>
            </a:solidFill>
            <a:ln w="14846">
              <a:solidFill>
                <a:srgbClr val="000000"/>
              </a:solidFill>
              <a:prstDash val="solid"/>
            </a:ln>
          </c:spPr>
          <c:dLbls>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财政拨款收入</c:v>
                </c:pt>
                <c:pt idx="1">
                  <c:v>财政拨款支出</c:v>
                </c:pt>
              </c:strCache>
            </c:strRef>
          </c:cat>
          <c:val>
            <c:numRef>
              <c:f>Sheet1!$B$3:$C$3</c:f>
              <c:numCache>
                <c:formatCode>General</c:formatCode>
                <c:ptCount val="2"/>
                <c:pt idx="0">
                  <c:v>7145.8600000000024</c:v>
                </c:pt>
                <c:pt idx="1">
                  <c:v>7106.35</c:v>
                </c:pt>
              </c:numCache>
            </c:numRef>
          </c:val>
          <c:extLst xmlns:c16r2="http://schemas.microsoft.com/office/drawing/2015/06/chart">
            <c:ext xmlns:c16="http://schemas.microsoft.com/office/drawing/2014/chart" uri="{C3380CC4-5D6E-409C-BE32-E72D297353CC}">
              <c16:uniqueId val="{00000001-EA40-456E-83CA-F7A0C7574189}"/>
            </c:ext>
          </c:extLst>
        </c:ser>
        <c:gapDepth val="0"/>
        <c:shape val="box"/>
        <c:axId val="242654208"/>
        <c:axId val="242860800"/>
        <c:axId val="0"/>
      </c:bar3DChart>
      <c:catAx>
        <c:axId val="242654208"/>
        <c:scaling>
          <c:orientation val="minMax"/>
        </c:scaling>
        <c:axPos val="b"/>
        <c:numFmt formatCode="General" sourceLinked="1"/>
        <c:majorTickMark val="in"/>
        <c:tickLblPos val="low"/>
        <c:spPr>
          <a:ln w="3712">
            <a:solidFill>
              <a:srgbClr val="000000"/>
            </a:solidFill>
            <a:prstDash val="solid"/>
          </a:ln>
        </c:spPr>
        <c:txPr>
          <a:bodyPr rot="0" vert="horz"/>
          <a:lstStyle/>
          <a:p>
            <a:pPr>
              <a:defRPr sz="935" b="0" i="0" u="none" strike="noStrike" baseline="0">
                <a:solidFill>
                  <a:srgbClr val="000000"/>
                </a:solidFill>
                <a:latin typeface="宋体"/>
                <a:ea typeface="宋体"/>
                <a:cs typeface="宋体"/>
              </a:defRPr>
            </a:pPr>
            <a:endParaRPr lang="zh-CN"/>
          </a:p>
        </c:txPr>
        <c:crossAx val="242860800"/>
        <c:crosses val="autoZero"/>
        <c:auto val="1"/>
        <c:lblAlgn val="ctr"/>
        <c:lblOffset val="100"/>
        <c:tickLblSkip val="1"/>
        <c:tickMarkSkip val="1"/>
      </c:catAx>
      <c:valAx>
        <c:axId val="242860800"/>
        <c:scaling>
          <c:orientation val="minMax"/>
        </c:scaling>
        <c:axPos val="l"/>
        <c:majorGridlines>
          <c:spPr>
            <a:ln w="3712">
              <a:solidFill>
                <a:srgbClr val="000000"/>
              </a:solidFill>
              <a:prstDash val="solid"/>
            </a:ln>
          </c:spPr>
        </c:majorGridlines>
        <c:numFmt formatCode="General" sourceLinked="1"/>
        <c:majorTickMark val="in"/>
        <c:tickLblPos val="nextTo"/>
        <c:spPr>
          <a:ln w="3712">
            <a:solidFill>
              <a:srgbClr val="000000"/>
            </a:solidFill>
            <a:prstDash val="solid"/>
          </a:ln>
        </c:spPr>
        <c:txPr>
          <a:bodyPr rot="0" vert="horz"/>
          <a:lstStyle/>
          <a:p>
            <a:pPr>
              <a:defRPr sz="935" b="0" i="0" u="none" strike="noStrike" baseline="0">
                <a:solidFill>
                  <a:srgbClr val="000000"/>
                </a:solidFill>
                <a:latin typeface="宋体"/>
                <a:ea typeface="宋体"/>
                <a:cs typeface="宋体"/>
              </a:defRPr>
            </a:pPr>
            <a:endParaRPr lang="zh-CN"/>
          </a:p>
        </c:txPr>
        <c:crossAx val="242654208"/>
        <c:crosses val="autoZero"/>
        <c:crossBetween val="between"/>
      </c:valAx>
      <c:spPr>
        <a:noFill/>
        <a:ln w="29692">
          <a:noFill/>
        </a:ln>
      </c:spPr>
    </c:plotArea>
    <c:legend>
      <c:legendPos val="r"/>
      <c:layout>
        <c:manualLayout>
          <c:xMode val="edge"/>
          <c:yMode val="edge"/>
          <c:x val="0.85156249999999956"/>
          <c:y val="0.39610389610390162"/>
          <c:w val="0.13802083333333334"/>
          <c:h val="0.21428571428571427"/>
        </c:manualLayout>
      </c:layout>
      <c:spPr>
        <a:noFill/>
        <a:ln w="3712">
          <a:solidFill>
            <a:srgbClr val="000000"/>
          </a:solidFill>
          <a:prstDash val="solid"/>
        </a:ln>
      </c:spPr>
      <c:txPr>
        <a:bodyPr/>
        <a:lstStyle/>
        <a:p>
          <a:pPr>
            <a:defRPr sz="859"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935" b="0" i="0" u="none" strike="noStrike" baseline="0">
          <a:solidFill>
            <a:srgbClr val="000000"/>
          </a:solidFill>
          <a:latin typeface="宋体"/>
          <a:ea typeface="宋体"/>
          <a:cs typeface="宋体"/>
        </a:defRPr>
      </a:pPr>
      <a:endParaRPr lang="zh-CN"/>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chart>
    <c:autoTitleDeleted val="1"/>
    <c:view3D>
      <c:hPercent val="45"/>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9.8173515981735154E-2"/>
          <c:y val="6.5217391304347824E-2"/>
          <c:w val="0.52511415525114158"/>
          <c:h val="0.71014492753623193"/>
        </c:manualLayout>
      </c:layout>
      <c:bar3DChart>
        <c:barDir val="col"/>
        <c:grouping val="stacked"/>
        <c:ser>
          <c:idx val="0"/>
          <c:order val="0"/>
          <c:tx>
            <c:strRef>
              <c:f>Sheet1!$A$2</c:f>
              <c:strCache>
                <c:ptCount val="1"/>
                <c:pt idx="0">
                  <c:v>一般公共预算财政拨款支出</c:v>
                </c:pt>
              </c:strCache>
            </c:strRef>
          </c:tx>
          <c:spPr>
            <a:solidFill>
              <a:srgbClr val="9999FF"/>
            </a:solidFill>
            <a:ln w="14985">
              <a:solidFill>
                <a:srgbClr val="000000"/>
              </a:solidFill>
              <a:prstDash val="solid"/>
            </a:ln>
          </c:spPr>
          <c:dLbls>
            <c:dLbl>
              <c:idx val="0"/>
              <c:layout>
                <c:manualLayout>
                  <c:x val="1.8018018018018007E-2"/>
                  <c:y val="-0.288288288288291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285-4A0F-B4B3-E87C736A32FE}"/>
                </c:ext>
              </c:extLst>
            </c:dLbl>
            <c:dLbl>
              <c:idx val="1"/>
              <c:layout>
                <c:manualLayout>
                  <c:x val="2.4024024024024031E-2"/>
                  <c:y val="-0.33153209902816388"/>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285-4A0F-B4B3-E87C736A32FE}"/>
                </c:ext>
              </c:extLst>
            </c:dLbl>
            <c:spPr>
              <a:noFill/>
              <a:ln>
                <a:noFill/>
              </a:ln>
              <a:effectLst/>
            </c:spPr>
            <c:showVal val="1"/>
            <c:extLst xmlns:c16r2="http://schemas.microsoft.com/office/drawing/2015/06/chart">
              <c:ext xmlns:c15="http://schemas.microsoft.com/office/drawing/2012/chart" uri="{CE6537A1-D6FC-4f65-9D91-7224C49458BB}">
                <c15:showLeaderLines val="0"/>
              </c:ext>
            </c:extLst>
          </c:dLbls>
          <c:cat>
            <c:strRef>
              <c:f>Sheet1!$B$1:$C$1</c:f>
              <c:strCache>
                <c:ptCount val="2"/>
                <c:pt idx="0">
                  <c:v>2021年</c:v>
                </c:pt>
                <c:pt idx="1">
                  <c:v>2020年</c:v>
                </c:pt>
              </c:strCache>
            </c:strRef>
          </c:cat>
          <c:val>
            <c:numRef>
              <c:f>Sheet1!$B$2:$C$2</c:f>
              <c:numCache>
                <c:formatCode>General</c:formatCode>
                <c:ptCount val="2"/>
                <c:pt idx="0">
                  <c:v>8799.17</c:v>
                </c:pt>
                <c:pt idx="1">
                  <c:v>7106.35</c:v>
                </c:pt>
              </c:numCache>
            </c:numRef>
          </c:val>
          <c:extLst xmlns:c16r2="http://schemas.microsoft.com/office/drawing/2015/06/chart">
            <c:ext xmlns:c16="http://schemas.microsoft.com/office/drawing/2014/chart" uri="{C3380CC4-5D6E-409C-BE32-E72D297353CC}">
              <c16:uniqueId val="{00000002-E285-4A0F-B4B3-E87C736A32FE}"/>
            </c:ext>
          </c:extLst>
        </c:ser>
        <c:gapDepth val="0"/>
        <c:shape val="box"/>
        <c:axId val="243033984"/>
        <c:axId val="243035520"/>
        <c:axId val="0"/>
      </c:bar3DChart>
      <c:catAx>
        <c:axId val="243033984"/>
        <c:scaling>
          <c:orientation val="minMax"/>
        </c:scaling>
        <c:axPos val="b"/>
        <c:numFmt formatCode="General" sourceLinked="1"/>
        <c:majorTickMark val="in"/>
        <c:tickLblPos val="low"/>
        <c:spPr>
          <a:ln w="3746">
            <a:solidFill>
              <a:srgbClr val="000000"/>
            </a:solidFill>
            <a:prstDash val="solid"/>
          </a:ln>
        </c:spPr>
        <c:txPr>
          <a:bodyPr rot="0" vert="horz"/>
          <a:lstStyle/>
          <a:p>
            <a:pPr>
              <a:defRPr sz="944" b="0" i="0" u="none" strike="noStrike" baseline="0">
                <a:solidFill>
                  <a:srgbClr val="000000"/>
                </a:solidFill>
                <a:latin typeface="宋体"/>
                <a:ea typeface="宋体"/>
                <a:cs typeface="宋体"/>
              </a:defRPr>
            </a:pPr>
            <a:endParaRPr lang="zh-CN"/>
          </a:p>
        </c:txPr>
        <c:crossAx val="243035520"/>
        <c:crosses val="autoZero"/>
        <c:lblAlgn val="ctr"/>
        <c:lblOffset val="100"/>
        <c:tickLblSkip val="1"/>
        <c:tickMarkSkip val="1"/>
      </c:catAx>
      <c:valAx>
        <c:axId val="243035520"/>
        <c:scaling>
          <c:orientation val="minMax"/>
        </c:scaling>
        <c:axPos val="l"/>
        <c:majorGridlines>
          <c:spPr>
            <a:ln w="3746">
              <a:solidFill>
                <a:srgbClr val="000000"/>
              </a:solidFill>
              <a:prstDash val="solid"/>
            </a:ln>
          </c:spPr>
        </c:majorGridlines>
        <c:numFmt formatCode="General" sourceLinked="1"/>
        <c:majorTickMark val="in"/>
        <c:tickLblPos val="nextTo"/>
        <c:spPr>
          <a:ln w="3746">
            <a:solidFill>
              <a:srgbClr val="000000"/>
            </a:solidFill>
            <a:prstDash val="solid"/>
          </a:ln>
        </c:spPr>
        <c:txPr>
          <a:bodyPr rot="0" vert="horz"/>
          <a:lstStyle/>
          <a:p>
            <a:pPr>
              <a:defRPr sz="944" b="0" i="0" u="none" strike="noStrike" baseline="0">
                <a:solidFill>
                  <a:srgbClr val="000000"/>
                </a:solidFill>
                <a:latin typeface="宋体"/>
                <a:ea typeface="宋体"/>
                <a:cs typeface="宋体"/>
              </a:defRPr>
            </a:pPr>
            <a:endParaRPr lang="zh-CN"/>
          </a:p>
        </c:txPr>
        <c:crossAx val="243033984"/>
        <c:crosses val="autoZero"/>
        <c:crossBetween val="between"/>
        <c:majorUnit val="500"/>
      </c:valAx>
      <c:spPr>
        <a:noFill/>
        <a:ln w="29971">
          <a:noFill/>
        </a:ln>
      </c:spPr>
    </c:plotArea>
    <c:legend>
      <c:legendPos val="r"/>
      <c:layout>
        <c:manualLayout>
          <c:xMode val="edge"/>
          <c:yMode val="edge"/>
          <c:x val="0.64840182648403866"/>
          <c:y val="0.44202898550725689"/>
          <c:w val="0.32784682320116126"/>
          <c:h val="0.16696545364261944"/>
        </c:manualLayout>
      </c:layout>
      <c:spPr>
        <a:noFill/>
        <a:ln w="3746">
          <a:solidFill>
            <a:srgbClr val="000000"/>
          </a:solidFill>
          <a:prstDash val="solid"/>
        </a:ln>
      </c:spPr>
      <c:txPr>
        <a:bodyPr/>
        <a:lstStyle/>
        <a:p>
          <a:pPr>
            <a:defRPr sz="867" b="0" i="0" u="none" strike="noStrike" baseline="0">
              <a:solidFill>
                <a:srgbClr val="000000"/>
              </a:solidFill>
              <a:latin typeface="宋体"/>
              <a:ea typeface="宋体"/>
              <a:cs typeface="宋体"/>
            </a:defRPr>
          </a:pPr>
          <a:endParaRPr lang="zh-CN"/>
        </a:p>
      </c:txPr>
    </c:legend>
    <c:plotVisOnly val="1"/>
    <c:dispBlanksAs val="gap"/>
  </c:chart>
  <c:spPr>
    <a:noFill/>
    <a:ln>
      <a:noFill/>
    </a:ln>
  </c:spPr>
  <c:txPr>
    <a:bodyPr/>
    <a:lstStyle/>
    <a:p>
      <a:pPr>
        <a:defRPr sz="944" b="0" i="0" u="none" strike="noStrike" baseline="0">
          <a:solidFill>
            <a:srgbClr val="000000"/>
          </a:solidFill>
          <a:latin typeface="宋体"/>
          <a:ea typeface="宋体"/>
          <a:cs typeface="宋体"/>
        </a:defRPr>
      </a:pPr>
      <a:endParaRPr lang="zh-CN"/>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一般公共预算财政拨款支出决算结构情况</c:v>
                </c:pt>
              </c:strCache>
            </c:strRef>
          </c:tx>
          <c:explosion val="24"/>
          <c:dLbls>
            <c:dLbl>
              <c:idx val="0"/>
              <c:layout>
                <c:manualLayout>
                  <c:x val="5.4244157055614861E-2"/>
                  <c:y val="-3.93941314611215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CE5-415E-B4A8-2C353E38DBB5}"/>
                </c:ext>
              </c:extLst>
            </c:dLbl>
            <c:dLbl>
              <c:idx val="1"/>
              <c:layout>
                <c:manualLayout>
                  <c:x val="-3.7810253853110695E-2"/>
                  <c:y val="1.412447283098900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CE5-415E-B4A8-2C353E38DBB5}"/>
                </c:ext>
              </c:extLst>
            </c:dLbl>
            <c:dLbl>
              <c:idx val="2"/>
              <c:layout>
                <c:manualLayout>
                  <c:x val="6.3719614508817524E-2"/>
                  <c:y val="-5.3403541275606824E-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CE5-415E-B4A8-2C353E38DBB5}"/>
                </c:ext>
              </c:extLst>
            </c:dLbl>
            <c:dLbl>
              <c:idx val="4"/>
              <c:layout>
                <c:manualLayout>
                  <c:x val="-9.2456359220447787E-2"/>
                  <c:y val="7.7196232823839854E-4"/>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CE5-415E-B4A8-2C353E38DBB5}"/>
                </c:ext>
              </c:extLst>
            </c:dLbl>
            <c:dLbl>
              <c:idx val="5"/>
              <c:layout>
                <c:manualLayout>
                  <c:x val="2.3282666358253516E-4"/>
                  <c:y val="-6.4338103247929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0CE5-415E-B4A8-2C353E38DBB5}"/>
                </c:ext>
              </c:extLst>
            </c:dLbl>
            <c:spPr>
              <a:noFill/>
              <a:ln>
                <a:noFill/>
              </a:ln>
              <a:effectLst/>
            </c:spPr>
            <c:showVal val="1"/>
            <c:showLeaderLines val="1"/>
            <c:extLst xmlns:c16r2="http://schemas.microsoft.com/office/drawing/2015/06/chart">
              <c:ext xmlns:c15="http://schemas.microsoft.com/office/drawing/2012/chart" uri="{CE6537A1-D6FC-4f65-9D91-7224C49458BB}"/>
            </c:extLst>
          </c:dLbls>
          <c:cat>
            <c:strRef>
              <c:f>Sheet1!$A$2:$A$5</c:f>
              <c:strCache>
                <c:ptCount val="4"/>
                <c:pt idx="0">
                  <c:v>社会保障和就业支出</c:v>
                </c:pt>
                <c:pt idx="1">
                  <c:v>卫生健康支出</c:v>
                </c:pt>
                <c:pt idx="2">
                  <c:v>城乡社区支出</c:v>
                </c:pt>
                <c:pt idx="3">
                  <c:v>住房保障支出</c:v>
                </c:pt>
              </c:strCache>
            </c:strRef>
          </c:cat>
          <c:val>
            <c:numRef>
              <c:f>Sheet1!$B$2:$B$5</c:f>
              <c:numCache>
                <c:formatCode>General</c:formatCode>
                <c:ptCount val="4"/>
                <c:pt idx="0">
                  <c:v>627.16</c:v>
                </c:pt>
                <c:pt idx="1">
                  <c:v>178.60999999999999</c:v>
                </c:pt>
                <c:pt idx="2">
                  <c:v>7508.5</c:v>
                </c:pt>
                <c:pt idx="3">
                  <c:v>484.9</c:v>
                </c:pt>
              </c:numCache>
            </c:numRef>
          </c:val>
          <c:extLst xmlns:c16r2="http://schemas.microsoft.com/office/drawing/2015/06/chart">
            <c:ext xmlns:c16="http://schemas.microsoft.com/office/drawing/2014/chart" uri="{C3380CC4-5D6E-409C-BE32-E72D297353CC}">
              <c16:uniqueId val="{00000005-0CE5-415E-B4A8-2C353E38DBB5}"/>
            </c:ext>
          </c:extLst>
        </c:ser>
        <c:firstSliceAng val="0"/>
      </c:pieChart>
    </c:plotArea>
    <c:legend>
      <c:legendPos val="r"/>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autoTitleDeleted val="1"/>
    <c:plotArea>
      <c:layout>
        <c:manualLayout>
          <c:layoutTarget val="inner"/>
          <c:xMode val="edge"/>
          <c:yMode val="edge"/>
          <c:x val="0.18552631578947626"/>
          <c:y val="7.4829931972789129E-2"/>
          <c:w val="0.33333333333333331"/>
          <c:h val="0.88435374149659851"/>
        </c:manualLayout>
      </c:layout>
      <c:pieChart>
        <c:varyColors val="1"/>
        <c:ser>
          <c:idx val="0"/>
          <c:order val="0"/>
          <c:tx>
            <c:strRef>
              <c:f>Sheet1!$A$2</c:f>
              <c:strCache>
                <c:ptCount val="1"/>
                <c:pt idx="0">
                  <c:v>三公经费</c:v>
                </c:pt>
              </c:strCache>
            </c:strRef>
          </c:tx>
          <c:spPr>
            <a:solidFill>
              <a:srgbClr val="9999FF"/>
            </a:solidFill>
            <a:ln w="16648">
              <a:solidFill>
                <a:srgbClr val="000000"/>
              </a:solidFill>
              <a:prstDash val="solid"/>
            </a:ln>
          </c:spPr>
          <c:dPt>
            <c:idx val="1"/>
            <c:spPr>
              <a:solidFill>
                <a:srgbClr val="993366"/>
              </a:solidFill>
              <a:ln w="16648">
                <a:solidFill>
                  <a:srgbClr val="000000"/>
                </a:solidFill>
                <a:prstDash val="solid"/>
              </a:ln>
            </c:spPr>
            <c:extLst xmlns:c16r2="http://schemas.microsoft.com/office/drawing/2015/06/chart">
              <c:ext xmlns:c16="http://schemas.microsoft.com/office/drawing/2014/chart" uri="{C3380CC4-5D6E-409C-BE32-E72D297353CC}">
                <c16:uniqueId val="{00000000-A569-48CB-9D40-CA1157E99D2F}"/>
              </c:ext>
            </c:extLst>
          </c:dPt>
          <c:dPt>
            <c:idx val="2"/>
            <c:spPr>
              <a:solidFill>
                <a:srgbClr val="FFFFCC"/>
              </a:solidFill>
              <a:ln w="16648">
                <a:solidFill>
                  <a:srgbClr val="000000"/>
                </a:solidFill>
                <a:prstDash val="solid"/>
              </a:ln>
            </c:spPr>
            <c:extLst xmlns:c16r2="http://schemas.microsoft.com/office/drawing/2015/06/chart">
              <c:ext xmlns:c16="http://schemas.microsoft.com/office/drawing/2014/chart" uri="{C3380CC4-5D6E-409C-BE32-E72D297353CC}">
                <c16:uniqueId val="{00000001-A569-48CB-9D40-CA1157E99D2F}"/>
              </c:ext>
            </c:extLst>
          </c:dPt>
          <c:dLbls>
            <c:dLbl>
              <c:idx val="0"/>
              <c:layout>
                <c:manualLayout>
                  <c:x val="6.9023259428097811E-2"/>
                  <c:y val="-1.469334190369057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A569-48CB-9D40-CA1157E99D2F}"/>
                </c:ext>
              </c:extLst>
            </c:dLbl>
            <c:spPr>
              <a:noFill/>
              <a:ln w="33296">
                <a:noFill/>
              </a:ln>
            </c:spPr>
            <c:txPr>
              <a:bodyPr/>
              <a:lstStyle/>
              <a:p>
                <a:pPr>
                  <a:defRPr sz="1081" b="0" i="0" u="none" strike="noStrike" baseline="0">
                    <a:solidFill>
                      <a:srgbClr val="000000"/>
                    </a:solidFill>
                    <a:latin typeface="宋体"/>
                    <a:ea typeface="宋体"/>
                    <a:cs typeface="宋体"/>
                  </a:defRPr>
                </a:pPr>
                <a:endParaRPr lang="zh-CN"/>
              </a:p>
            </c:txPr>
            <c:showVal val="1"/>
            <c:showLeaderLines val="1"/>
            <c:extLst xmlns:c16r2="http://schemas.microsoft.com/office/drawing/2015/06/chart">
              <c:ext xmlns:c15="http://schemas.microsoft.com/office/drawing/2012/chart" uri="{CE6537A1-D6FC-4f65-9D91-7224C49458BB}"/>
            </c:extLst>
          </c:dLbls>
          <c:cat>
            <c:strRef>
              <c:f>Sheet1!$B$1:$D$1</c:f>
              <c:strCache>
                <c:ptCount val="3"/>
                <c:pt idx="0">
                  <c:v>因公出国(境)费</c:v>
                </c:pt>
                <c:pt idx="1">
                  <c:v>公务用车购置及运行维护费</c:v>
                </c:pt>
                <c:pt idx="2">
                  <c:v>公务接待费</c:v>
                </c:pt>
              </c:strCache>
            </c:strRef>
          </c:cat>
          <c:val>
            <c:numRef>
              <c:f>Sheet1!$B$2:$D$2</c:f>
              <c:numCache>
                <c:formatCode>General</c:formatCode>
                <c:ptCount val="3"/>
                <c:pt idx="0">
                  <c:v>0</c:v>
                </c:pt>
                <c:pt idx="1">
                  <c:v>130.88000000000054</c:v>
                </c:pt>
                <c:pt idx="2">
                  <c:v>0.77000000000000235</c:v>
                </c:pt>
              </c:numCache>
            </c:numRef>
          </c:val>
          <c:extLst xmlns:c16r2="http://schemas.microsoft.com/office/drawing/2015/06/chart">
            <c:ext xmlns:c16="http://schemas.microsoft.com/office/drawing/2014/chart" uri="{C3380CC4-5D6E-409C-BE32-E72D297353CC}">
              <c16:uniqueId val="{00000003-A569-48CB-9D40-CA1157E99D2F}"/>
            </c:ext>
          </c:extLst>
        </c:ser>
        <c:dLbls>
          <c:showVal val="1"/>
        </c:dLbls>
        <c:firstSliceAng val="0"/>
      </c:pieChart>
      <c:spPr>
        <a:solidFill>
          <a:srgbClr val="C0C0C0"/>
        </a:solidFill>
        <a:ln w="16648">
          <a:solidFill>
            <a:srgbClr val="808080"/>
          </a:solidFill>
          <a:prstDash val="solid"/>
        </a:ln>
      </c:spPr>
    </c:plotArea>
    <c:legend>
      <c:legendPos val="r"/>
      <c:layout>
        <c:manualLayout>
          <c:xMode val="edge"/>
          <c:yMode val="edge"/>
          <c:x val="0.6791666666666667"/>
          <c:y val="0.35714285714286526"/>
          <c:w val="0.31250000000000488"/>
          <c:h val="0.2916666666666729"/>
        </c:manualLayout>
      </c:layout>
      <c:spPr>
        <a:noFill/>
        <a:ln w="4162">
          <a:solidFill>
            <a:srgbClr val="000000"/>
          </a:solidFill>
          <a:prstDash val="solid"/>
        </a:ln>
      </c:spPr>
      <c:txPr>
        <a:bodyPr/>
        <a:lstStyle/>
        <a:p>
          <a:pPr>
            <a:defRPr sz="990" b="0" i="0" u="none" strike="noStrike" baseline="0">
              <a:solidFill>
                <a:srgbClr val="000000"/>
              </a:solidFill>
              <a:latin typeface="宋体"/>
              <a:ea typeface="宋体"/>
              <a:cs typeface="宋体"/>
            </a:defRPr>
          </a:pPr>
          <a:endParaRPr lang="zh-CN"/>
        </a:p>
      </c:txPr>
    </c:legend>
    <c:plotVisOnly val="1"/>
    <c:dispBlanksAs val="zero"/>
  </c:chart>
  <c:spPr>
    <a:noFill/>
    <a:ln>
      <a:noFill/>
    </a:ln>
  </c:spPr>
  <c:txPr>
    <a:bodyPr/>
    <a:lstStyle/>
    <a:p>
      <a:pPr>
        <a:defRPr sz="1081" b="0" i="0" u="none" strike="noStrike" baseline="0">
          <a:solidFill>
            <a:srgbClr val="000000"/>
          </a:solidFill>
          <a:latin typeface="宋体"/>
          <a:ea typeface="宋体"/>
          <a:cs typeface="宋体"/>
        </a:defRPr>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5480E-F088-4A0F-9472-EBDEB152F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34</Pages>
  <Words>2323</Words>
  <Characters>13242</Characters>
  <Application>Microsoft Office Word</Application>
  <DocSecurity>0</DocSecurity>
  <Lines>110</Lines>
  <Paragraphs>31</Paragraphs>
  <ScaleCrop>false</ScaleCrop>
  <Company>Microsoft</Company>
  <LinksUpToDate>false</LinksUpToDate>
  <CharactersWithSpaces>15534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114</cp:revision>
  <cp:lastPrinted>2021-09-27T09:42:00Z</cp:lastPrinted>
  <dcterms:created xsi:type="dcterms:W3CDTF">2021-09-26T01:54:00Z</dcterms:created>
  <dcterms:modified xsi:type="dcterms:W3CDTF">2022-10-08T08:41:00Z</dcterms:modified>
</cp:coreProperties>
</file>