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outlineLvl w:val="0"/>
        <w:rPr>
          <w:rFonts w:hint="eastAsia" w:ascii="黑体" w:hAnsi="黑体" w:eastAsia="黑体" w:cs="黑体"/>
          <w:color w:val="000000"/>
          <w:sz w:val="52"/>
          <w:szCs w:val="52"/>
        </w:rPr>
      </w:pPr>
      <w:bookmarkStart w:id="0" w:name="OLE_LINK8"/>
      <w:bookmarkStart w:id="1" w:name="OLE_LINK4"/>
      <w:bookmarkStart w:id="2" w:name="OLE_LINK9"/>
      <w:bookmarkStart w:id="3" w:name="OLE_LINK2"/>
      <w:bookmarkStart w:id="4" w:name="OLE_LINK11"/>
    </w:p>
    <w:p>
      <w:pPr>
        <w:adjustRightInd w:val="0"/>
        <w:snapToGrid w:val="0"/>
        <w:spacing w:line="360" w:lineRule="auto"/>
        <w:jc w:val="center"/>
        <w:outlineLvl w:val="0"/>
        <w:rPr>
          <w:rFonts w:hint="eastAsia" w:ascii="黑体" w:hAnsi="黑体" w:eastAsia="黑体" w:cs="黑体"/>
          <w:color w:val="000000"/>
          <w:sz w:val="52"/>
          <w:szCs w:val="52"/>
        </w:rPr>
      </w:pPr>
    </w:p>
    <w:p>
      <w:pPr>
        <w:adjustRightInd w:val="0"/>
        <w:snapToGrid w:val="0"/>
        <w:spacing w:line="360" w:lineRule="auto"/>
        <w:jc w:val="center"/>
        <w:outlineLvl w:val="0"/>
        <w:rPr>
          <w:rFonts w:ascii="黑体" w:hAnsi="黑体" w:eastAsia="黑体"/>
          <w:color w:val="000000"/>
          <w:sz w:val="52"/>
          <w:szCs w:val="52"/>
        </w:rPr>
      </w:pPr>
      <w:r>
        <w:rPr>
          <w:rFonts w:hint="eastAsia" w:ascii="黑体" w:hAnsi="黑体" w:eastAsia="黑体" w:cs="黑体"/>
          <w:color w:val="000000"/>
          <w:sz w:val="52"/>
          <w:szCs w:val="52"/>
        </w:rPr>
        <w:t>2020年度</w:t>
      </w:r>
    </w:p>
    <w:p>
      <w:pPr>
        <w:adjustRightInd w:val="0"/>
        <w:snapToGrid w:val="0"/>
        <w:spacing w:line="360" w:lineRule="auto"/>
        <w:jc w:val="center"/>
        <w:outlineLvl w:val="0"/>
        <w:rPr>
          <w:rFonts w:hint="eastAsia" w:ascii="黑体" w:hAnsi="黑体" w:eastAsia="黑体"/>
          <w:color w:val="000000"/>
          <w:sz w:val="52"/>
          <w:szCs w:val="52"/>
        </w:rPr>
      </w:pPr>
      <w:bookmarkStart w:id="5" w:name="_Toc15396476"/>
      <w:bookmarkStart w:id="6" w:name="_Toc15377194"/>
      <w:bookmarkStart w:id="7" w:name="_Toc15396598"/>
      <w:bookmarkStart w:id="8" w:name="_Toc15378442"/>
      <w:bookmarkStart w:id="9" w:name="_Toc15377426"/>
      <w:r>
        <w:rPr>
          <w:rFonts w:hint="eastAsia" w:ascii="黑体" w:hAnsi="黑体" w:eastAsia="黑体" w:cs="黑体"/>
          <w:color w:val="000000"/>
          <w:sz w:val="52"/>
          <w:szCs w:val="52"/>
        </w:rPr>
        <w:t>德阳市</w:t>
      </w:r>
      <w:bookmarkStart w:id="10" w:name="_Toc15306268"/>
      <w:r>
        <w:rPr>
          <w:rFonts w:hint="eastAsia" w:ascii="黑体" w:hAnsi="黑体" w:eastAsia="黑体" w:cs="黑体"/>
          <w:color w:val="000000"/>
          <w:sz w:val="52"/>
          <w:szCs w:val="52"/>
        </w:rPr>
        <w:t>城市管理行政执法局(汇总)</w:t>
      </w:r>
    </w:p>
    <w:p>
      <w:pPr>
        <w:adjustRightInd w:val="0"/>
        <w:snapToGrid w:val="0"/>
        <w:spacing w:line="360" w:lineRule="auto"/>
        <w:jc w:val="center"/>
        <w:outlineLvl w:val="0"/>
        <w:rPr>
          <w:rFonts w:hint="eastAsia" w:ascii="黑体" w:hAnsi="黑体" w:eastAsia="黑体"/>
          <w:color w:val="000000"/>
          <w:sz w:val="52"/>
          <w:szCs w:val="52"/>
        </w:rPr>
      </w:pPr>
      <w:r>
        <w:rPr>
          <w:rFonts w:hint="eastAsia" w:ascii="黑体" w:hAnsi="黑体" w:eastAsia="黑体" w:cs="黑体"/>
          <w:color w:val="000000"/>
          <w:sz w:val="52"/>
          <w:szCs w:val="52"/>
        </w:rPr>
        <w:t>部门决算</w:t>
      </w:r>
      <w:bookmarkEnd w:id="5"/>
      <w:bookmarkEnd w:id="6"/>
      <w:bookmarkEnd w:id="7"/>
      <w:bookmarkEnd w:id="8"/>
      <w:bookmarkEnd w:id="9"/>
      <w:bookmarkEnd w:id="10"/>
      <w:r>
        <w:rPr>
          <w:rFonts w:hint="eastAsia" w:ascii="黑体" w:hAnsi="黑体" w:eastAsia="黑体" w:cs="黑体"/>
          <w:color w:val="000000"/>
          <w:sz w:val="52"/>
          <w:szCs w:val="52"/>
        </w:rPr>
        <w:t>编制说明</w:t>
      </w:r>
      <w:bookmarkStart w:id="80" w:name="_GoBack"/>
      <w:bookmarkEnd w:id="80"/>
    </w:p>
    <w:p>
      <w:pPr>
        <w:tabs>
          <w:tab w:val="center" w:pos="4153"/>
        </w:tabs>
        <w:adjustRightInd w:val="0"/>
        <w:snapToGrid w:val="0"/>
        <w:spacing w:line="360" w:lineRule="auto"/>
        <w:jc w:val="left"/>
        <w:outlineLvl w:val="0"/>
        <w:rPr>
          <w:rFonts w:hint="eastAsia" w:ascii="黑体" w:hAnsi="黑体" w:eastAsia="黑体"/>
          <w:color w:val="000000"/>
          <w:sz w:val="52"/>
          <w:szCs w:val="52"/>
        </w:rPr>
      </w:pPr>
    </w:p>
    <w:p>
      <w:pPr>
        <w:pStyle w:val="2"/>
        <w:ind w:left="420"/>
        <w:rPr>
          <w:rFonts w:hint="eastAsia"/>
        </w:rPr>
      </w:pPr>
    </w:p>
    <w:p>
      <w:pPr>
        <w:pStyle w:val="2"/>
        <w:ind w:left="420"/>
        <w:rPr>
          <w:rFonts w:hint="eastAsia"/>
        </w:rPr>
      </w:pPr>
    </w:p>
    <w:p>
      <w:pPr>
        <w:pStyle w:val="2"/>
        <w:ind w:left="420"/>
        <w:rPr>
          <w:rFonts w:hint="eastAsia"/>
        </w:rPr>
      </w:pPr>
    </w:p>
    <w:p>
      <w:pPr>
        <w:pStyle w:val="2"/>
        <w:ind w:left="420"/>
        <w:rPr>
          <w:rFonts w:hint="eastAsia"/>
        </w:rPr>
      </w:pPr>
    </w:p>
    <w:p>
      <w:pPr>
        <w:pStyle w:val="2"/>
        <w:ind w:left="420"/>
        <w:rPr>
          <w:rFonts w:hint="eastAsia"/>
        </w:rPr>
      </w:pPr>
    </w:p>
    <w:p>
      <w:pPr>
        <w:pStyle w:val="2"/>
        <w:ind w:left="420"/>
        <w:rPr>
          <w:rFonts w:hint="eastAsia"/>
        </w:rPr>
      </w:pPr>
    </w:p>
    <w:p>
      <w:pPr>
        <w:pStyle w:val="2"/>
        <w:ind w:left="420"/>
        <w:rPr>
          <w:rFonts w:hint="eastAsia"/>
        </w:rPr>
      </w:pPr>
    </w:p>
    <w:p>
      <w:pPr>
        <w:pStyle w:val="2"/>
        <w:ind w:left="420"/>
        <w:rPr>
          <w:rFonts w:hint="eastAsia"/>
        </w:rPr>
      </w:pPr>
    </w:p>
    <w:p>
      <w:pPr>
        <w:pStyle w:val="2"/>
        <w:ind w:left="420"/>
        <w:rPr>
          <w:rFonts w:hint="eastAsia"/>
        </w:rPr>
      </w:pPr>
    </w:p>
    <w:p>
      <w:pPr>
        <w:pStyle w:val="2"/>
        <w:ind w:left="420"/>
      </w:pPr>
    </w:p>
    <w:p>
      <w:pPr>
        <w:widowControl/>
        <w:ind w:firstLine="3360" w:firstLineChars="700"/>
        <w:rPr>
          <w:rFonts w:ascii="方正小标宋简体" w:hAnsi="宋体" w:eastAsia="方正小标宋简体"/>
          <w:color w:val="000000"/>
          <w:sz w:val="36"/>
          <w:szCs w:val="36"/>
        </w:rPr>
      </w:pPr>
      <w:r>
        <w:rPr>
          <w:rFonts w:hint="eastAsia" w:ascii="黑体" w:hAnsi="黑体" w:eastAsia="黑体"/>
          <w:color w:val="000000"/>
          <w:sz w:val="48"/>
          <w:szCs w:val="48"/>
        </w:rPr>
        <w:t>目  录</w:t>
      </w:r>
    </w:p>
    <w:p>
      <w:pPr>
        <w:widowControl/>
        <w:jc w:val="center"/>
        <w:rPr>
          <w:rFonts w:ascii="黑体" w:hAnsi="黑体" w:eastAsia="黑体" w:cstheme="minorBidi"/>
          <w:sz w:val="28"/>
          <w:szCs w:val="28"/>
        </w:rPr>
      </w:pPr>
    </w:p>
    <w:p>
      <w:pPr>
        <w:pStyle w:val="13"/>
      </w:pPr>
      <w:r>
        <w:rPr>
          <w:rFonts w:hint="eastAsia"/>
        </w:rPr>
        <w:t>公开时间：2021年9月27日</w:t>
      </w:r>
    </w:p>
    <w:p>
      <w:pPr>
        <w:rPr>
          <w:rFonts w:asciiTheme="minorEastAsia" w:hAnsiTheme="minorEastAsia" w:eastAsiaTheme="minorEastAsia"/>
        </w:rPr>
      </w:pPr>
    </w:p>
    <w:p>
      <w:pPr>
        <w:pStyle w:val="13"/>
        <w:adjustRightInd w:val="0"/>
        <w:snapToGrid w:val="0"/>
        <w:spacing w:before="0" w:line="440" w:lineRule="exact"/>
        <w:jc w:val="left"/>
        <w:rPr>
          <w:rFonts w:asciiTheme="minorEastAsia" w:hAnsiTheme="minorEastAsia" w:eastAsiaTheme="minorEastAsia" w:cstheme="minorBidi"/>
          <w:sz w:val="24"/>
          <w:szCs w:val="24"/>
        </w:rPr>
      </w:pPr>
      <w:r>
        <w:rPr>
          <w:rFonts w:hint="eastAsia" w:asciiTheme="minorEastAsia" w:hAnsiTheme="minorEastAsia" w:eastAsiaTheme="minorEastAsia"/>
          <w:sz w:val="24"/>
        </w:rPr>
        <w:t>第一部分部门概况</w:t>
      </w:r>
      <w:r>
        <w:rPr>
          <w:rFonts w:asciiTheme="minorEastAsia" w:hAnsiTheme="minorEastAsia" w:eastAsiaTheme="minorEastAsia"/>
          <w:sz w:val="24"/>
        </w:rPr>
        <w:tab/>
      </w:r>
      <w:r>
        <w:rPr>
          <w:rFonts w:hint="eastAsia" w:asciiTheme="minorEastAsia" w:hAnsiTheme="minorEastAsia" w:eastAsiaTheme="minorEastAsia"/>
          <w:sz w:val="24"/>
        </w:rPr>
        <w:t>1</w:t>
      </w:r>
    </w:p>
    <w:p>
      <w:pPr>
        <w:pStyle w:val="14"/>
        <w:adjustRightInd w:val="0"/>
        <w:snapToGrid w:val="0"/>
        <w:spacing w:line="440" w:lineRule="exact"/>
        <w:jc w:val="left"/>
        <w:rPr>
          <w:rFonts w:asciiTheme="minorEastAsia" w:hAnsiTheme="minorEastAsia" w:eastAsiaTheme="minorEastAsia"/>
          <w:sz w:val="24"/>
        </w:rPr>
      </w:pPr>
      <w:r>
        <w:rPr>
          <w:rFonts w:hint="eastAsia" w:asciiTheme="minorEastAsia" w:hAnsiTheme="minorEastAsia" w:eastAsiaTheme="minorEastAsia"/>
          <w:sz w:val="24"/>
        </w:rPr>
        <w:t>一、基本职能及主要工作</w:t>
      </w:r>
      <w:r>
        <w:rPr>
          <w:rFonts w:asciiTheme="minorEastAsia" w:hAnsiTheme="minorEastAsia" w:eastAsiaTheme="minorEastAsia"/>
          <w:sz w:val="24"/>
        </w:rPr>
        <w:tab/>
      </w:r>
      <w:r>
        <w:rPr>
          <w:rFonts w:hint="eastAsia" w:asciiTheme="minorEastAsia" w:hAnsiTheme="minorEastAsia" w:eastAsiaTheme="minorEastAsia"/>
          <w:sz w:val="24"/>
        </w:rPr>
        <w:t>3</w:t>
      </w:r>
    </w:p>
    <w:p>
      <w:pPr>
        <w:pStyle w:val="14"/>
        <w:adjustRightInd w:val="0"/>
        <w:snapToGrid w:val="0"/>
        <w:spacing w:line="440" w:lineRule="exact"/>
        <w:jc w:val="left"/>
        <w:rPr>
          <w:rFonts w:asciiTheme="minorEastAsia" w:hAnsiTheme="minorEastAsia" w:eastAsiaTheme="minorEastAsia" w:cstheme="minorBidi"/>
          <w:sz w:val="24"/>
        </w:rPr>
      </w:pPr>
      <w:r>
        <w:rPr>
          <w:rFonts w:hint="eastAsia" w:asciiTheme="minorEastAsia" w:hAnsiTheme="minorEastAsia" w:eastAsiaTheme="minorEastAsia"/>
          <w:sz w:val="24"/>
        </w:rPr>
        <w:t>二、机构设置</w:t>
      </w:r>
      <w:r>
        <w:rPr>
          <w:rFonts w:asciiTheme="minorEastAsia" w:hAnsiTheme="minorEastAsia" w:eastAsiaTheme="minorEastAsia"/>
          <w:sz w:val="24"/>
        </w:rPr>
        <w:tab/>
      </w:r>
      <w:r>
        <w:rPr>
          <w:rFonts w:hint="eastAsia" w:asciiTheme="minorEastAsia" w:hAnsiTheme="minorEastAsia" w:eastAsiaTheme="minorEastAsia"/>
          <w:sz w:val="24"/>
        </w:rPr>
        <w:t>11</w:t>
      </w:r>
    </w:p>
    <w:p>
      <w:pPr>
        <w:pStyle w:val="13"/>
        <w:adjustRightInd w:val="0"/>
        <w:snapToGrid w:val="0"/>
        <w:spacing w:before="0" w:line="440" w:lineRule="exact"/>
        <w:jc w:val="left"/>
        <w:rPr>
          <w:rFonts w:asciiTheme="minorEastAsia" w:hAnsiTheme="minorEastAsia" w:eastAsiaTheme="minorEastAsia"/>
          <w:b/>
          <w:sz w:val="24"/>
          <w:szCs w:val="24"/>
        </w:rPr>
      </w:pPr>
      <w:r>
        <w:rPr>
          <w:rFonts w:hint="eastAsia" w:asciiTheme="minorEastAsia" w:hAnsiTheme="minorEastAsia" w:eastAsiaTheme="minorEastAsia"/>
          <w:sz w:val="24"/>
        </w:rPr>
        <w:t>第二部分度部门决算情况说明</w:t>
      </w:r>
      <w:r>
        <w:rPr>
          <w:rFonts w:asciiTheme="minorEastAsia" w:hAnsiTheme="minorEastAsia" w:eastAsiaTheme="minorEastAsia"/>
          <w:sz w:val="24"/>
        </w:rPr>
        <w:tab/>
      </w:r>
      <w:r>
        <w:rPr>
          <w:rFonts w:hint="eastAsia" w:asciiTheme="minorEastAsia" w:hAnsiTheme="minorEastAsia" w:eastAsiaTheme="minorEastAsia"/>
          <w:sz w:val="24"/>
        </w:rPr>
        <w:t>12</w:t>
      </w:r>
    </w:p>
    <w:p>
      <w:pPr>
        <w:pStyle w:val="14"/>
        <w:adjustRightInd w:val="0"/>
        <w:snapToGrid w:val="0"/>
        <w:spacing w:line="440" w:lineRule="exact"/>
        <w:jc w:val="left"/>
        <w:rPr>
          <w:rFonts w:asciiTheme="minorEastAsia" w:hAnsiTheme="minorEastAsia" w:eastAsiaTheme="minorEastAsia"/>
          <w:sz w:val="24"/>
        </w:rPr>
      </w:pPr>
      <w:r>
        <w:rPr>
          <w:rFonts w:hint="eastAsia" w:asciiTheme="minorEastAsia" w:hAnsiTheme="minorEastAsia" w:eastAsiaTheme="minorEastAsia"/>
          <w:sz w:val="24"/>
        </w:rPr>
        <w:t>一、收入支出决算总体情况说明</w:t>
      </w:r>
      <w:r>
        <w:rPr>
          <w:rFonts w:asciiTheme="minorEastAsia" w:hAnsiTheme="minorEastAsia" w:eastAsiaTheme="minorEastAsia"/>
          <w:sz w:val="24"/>
        </w:rPr>
        <w:tab/>
      </w:r>
      <w:r>
        <w:rPr>
          <w:rFonts w:hint="eastAsia" w:asciiTheme="minorEastAsia" w:hAnsiTheme="minorEastAsia" w:eastAsiaTheme="minorEastAsia"/>
          <w:sz w:val="24"/>
        </w:rPr>
        <w:t>12</w:t>
      </w:r>
    </w:p>
    <w:p>
      <w:pPr>
        <w:pStyle w:val="14"/>
        <w:adjustRightInd w:val="0"/>
        <w:snapToGrid w:val="0"/>
        <w:spacing w:line="440" w:lineRule="exact"/>
        <w:jc w:val="left"/>
        <w:rPr>
          <w:rFonts w:asciiTheme="minorEastAsia" w:hAnsiTheme="minorEastAsia" w:eastAsiaTheme="minorEastAsia" w:cstheme="minorBidi"/>
          <w:sz w:val="24"/>
        </w:rPr>
      </w:pPr>
      <w:r>
        <w:rPr>
          <w:rFonts w:hint="eastAsia" w:asciiTheme="minorEastAsia" w:hAnsiTheme="minorEastAsia" w:eastAsiaTheme="minorEastAsia"/>
          <w:sz w:val="24"/>
        </w:rPr>
        <w:t>二、收入决算情况说明</w:t>
      </w:r>
      <w:r>
        <w:rPr>
          <w:rFonts w:asciiTheme="minorEastAsia" w:hAnsiTheme="minorEastAsia" w:eastAsiaTheme="minorEastAsia"/>
          <w:sz w:val="24"/>
        </w:rPr>
        <w:tab/>
      </w:r>
      <w:r>
        <w:rPr>
          <w:rFonts w:hint="eastAsia" w:asciiTheme="minorEastAsia" w:hAnsiTheme="minorEastAsia" w:eastAsiaTheme="minorEastAsia"/>
          <w:sz w:val="24"/>
        </w:rPr>
        <w:t>13</w:t>
      </w:r>
    </w:p>
    <w:p>
      <w:pPr>
        <w:pStyle w:val="14"/>
        <w:adjustRightInd w:val="0"/>
        <w:snapToGrid w:val="0"/>
        <w:spacing w:line="440" w:lineRule="exact"/>
        <w:jc w:val="left"/>
        <w:rPr>
          <w:rFonts w:asciiTheme="minorEastAsia" w:hAnsiTheme="minorEastAsia" w:eastAsiaTheme="minorEastAsia" w:cstheme="minorBidi"/>
          <w:sz w:val="24"/>
        </w:rPr>
      </w:pPr>
      <w:r>
        <w:rPr>
          <w:rFonts w:hint="eastAsia" w:asciiTheme="minorEastAsia" w:hAnsiTheme="minorEastAsia" w:eastAsiaTheme="minorEastAsia"/>
          <w:sz w:val="24"/>
        </w:rPr>
        <w:t>三、支出决算情况说明</w:t>
      </w:r>
      <w:r>
        <w:rPr>
          <w:rFonts w:asciiTheme="minorEastAsia" w:hAnsiTheme="minorEastAsia" w:eastAsiaTheme="minorEastAsia"/>
          <w:sz w:val="24"/>
        </w:rPr>
        <w:tab/>
      </w:r>
      <w:r>
        <w:rPr>
          <w:rFonts w:hint="eastAsia" w:asciiTheme="minorEastAsia" w:hAnsiTheme="minorEastAsia" w:eastAsiaTheme="minorEastAsia"/>
          <w:sz w:val="24"/>
        </w:rPr>
        <w:t>13</w:t>
      </w:r>
    </w:p>
    <w:p>
      <w:pPr>
        <w:pStyle w:val="14"/>
        <w:adjustRightInd w:val="0"/>
        <w:snapToGrid w:val="0"/>
        <w:spacing w:line="440" w:lineRule="exact"/>
        <w:jc w:val="left"/>
        <w:rPr>
          <w:rFonts w:asciiTheme="minorEastAsia" w:hAnsiTheme="minorEastAsia" w:eastAsiaTheme="minorEastAsia" w:cstheme="minorBidi"/>
          <w:sz w:val="24"/>
        </w:rPr>
      </w:pPr>
      <w:r>
        <w:rPr>
          <w:rFonts w:hint="eastAsia" w:asciiTheme="minorEastAsia" w:hAnsiTheme="minorEastAsia" w:eastAsiaTheme="minorEastAsia"/>
          <w:sz w:val="24"/>
        </w:rPr>
        <w:t>四、财政拨款收入支出决算总体情况说明</w:t>
      </w:r>
      <w:r>
        <w:rPr>
          <w:rFonts w:asciiTheme="minorEastAsia" w:hAnsiTheme="minorEastAsia" w:eastAsiaTheme="minorEastAsia"/>
          <w:sz w:val="24"/>
        </w:rPr>
        <w:tab/>
      </w:r>
      <w:r>
        <w:rPr>
          <w:rFonts w:hint="eastAsia" w:asciiTheme="minorEastAsia" w:hAnsiTheme="minorEastAsia" w:eastAsiaTheme="minorEastAsia"/>
          <w:sz w:val="24"/>
        </w:rPr>
        <w:t>13</w:t>
      </w:r>
    </w:p>
    <w:p>
      <w:pPr>
        <w:pStyle w:val="14"/>
        <w:adjustRightInd w:val="0"/>
        <w:snapToGrid w:val="0"/>
        <w:spacing w:line="440" w:lineRule="exact"/>
        <w:jc w:val="left"/>
        <w:rPr>
          <w:rFonts w:asciiTheme="minorEastAsia" w:hAnsiTheme="minorEastAsia" w:eastAsiaTheme="minorEastAsia" w:cstheme="minorBidi"/>
          <w:sz w:val="24"/>
        </w:rPr>
      </w:pPr>
      <w:r>
        <w:rPr>
          <w:rFonts w:hint="eastAsia" w:asciiTheme="minorEastAsia" w:hAnsiTheme="minorEastAsia" w:eastAsiaTheme="minorEastAsia"/>
          <w:sz w:val="24"/>
        </w:rPr>
        <w:t>五、一般公共预算财政拨款支出决算情况说明</w:t>
      </w:r>
      <w:r>
        <w:rPr>
          <w:rFonts w:asciiTheme="minorEastAsia" w:hAnsiTheme="minorEastAsia" w:eastAsiaTheme="minorEastAsia"/>
          <w:sz w:val="24"/>
        </w:rPr>
        <w:tab/>
      </w:r>
      <w:r>
        <w:rPr>
          <w:rFonts w:hint="eastAsia" w:asciiTheme="minorEastAsia" w:hAnsiTheme="minorEastAsia" w:eastAsiaTheme="minorEastAsia"/>
          <w:sz w:val="24"/>
        </w:rPr>
        <w:t>14</w:t>
      </w:r>
    </w:p>
    <w:p>
      <w:pPr>
        <w:pStyle w:val="14"/>
        <w:adjustRightInd w:val="0"/>
        <w:snapToGrid w:val="0"/>
        <w:spacing w:line="440" w:lineRule="exact"/>
        <w:jc w:val="left"/>
        <w:rPr>
          <w:rFonts w:asciiTheme="minorEastAsia" w:hAnsiTheme="minorEastAsia" w:eastAsiaTheme="minorEastAsia" w:cstheme="minorBidi"/>
          <w:sz w:val="24"/>
        </w:rPr>
      </w:pPr>
      <w:r>
        <w:rPr>
          <w:rFonts w:hint="eastAsia" w:asciiTheme="minorEastAsia" w:hAnsiTheme="minorEastAsia" w:eastAsiaTheme="minorEastAsia"/>
          <w:sz w:val="24"/>
        </w:rPr>
        <w:t>六、一般公共预算财政拨款基本支出决算情况说明</w:t>
      </w:r>
      <w:r>
        <w:rPr>
          <w:rFonts w:asciiTheme="minorEastAsia" w:hAnsiTheme="minorEastAsia" w:eastAsiaTheme="minorEastAsia"/>
          <w:sz w:val="24"/>
        </w:rPr>
        <w:tab/>
      </w:r>
      <w:r>
        <w:rPr>
          <w:rFonts w:hint="eastAsia" w:asciiTheme="minorEastAsia" w:hAnsiTheme="minorEastAsia" w:eastAsiaTheme="minorEastAsia"/>
          <w:sz w:val="24"/>
        </w:rPr>
        <w:t>16</w:t>
      </w:r>
    </w:p>
    <w:p>
      <w:pPr>
        <w:pStyle w:val="14"/>
        <w:adjustRightInd w:val="0"/>
        <w:snapToGrid w:val="0"/>
        <w:spacing w:line="440" w:lineRule="exact"/>
        <w:jc w:val="left"/>
        <w:rPr>
          <w:rFonts w:asciiTheme="minorEastAsia" w:hAnsiTheme="minorEastAsia" w:eastAsiaTheme="minorEastAsia" w:cstheme="minorBidi"/>
          <w:sz w:val="24"/>
        </w:rPr>
      </w:pPr>
      <w:r>
        <w:rPr>
          <w:rFonts w:hint="eastAsia" w:asciiTheme="minorEastAsia" w:hAnsiTheme="minorEastAsia" w:eastAsiaTheme="minorEastAsia"/>
          <w:sz w:val="24"/>
        </w:rPr>
        <w:t>七、</w:t>
      </w:r>
      <w:r>
        <w:rPr>
          <w:rFonts w:asciiTheme="minorEastAsia" w:hAnsiTheme="minorEastAsia" w:eastAsiaTheme="minorEastAsia"/>
          <w:sz w:val="24"/>
        </w:rPr>
        <w:t>“</w:t>
      </w:r>
      <w:r>
        <w:rPr>
          <w:rFonts w:hint="eastAsia" w:asciiTheme="minorEastAsia" w:hAnsiTheme="minorEastAsia" w:eastAsiaTheme="minorEastAsia"/>
          <w:sz w:val="24"/>
        </w:rPr>
        <w:t>三公”经费财政拨款支出决算情况说明</w:t>
      </w:r>
      <w:r>
        <w:rPr>
          <w:rFonts w:asciiTheme="minorEastAsia" w:hAnsiTheme="minorEastAsia" w:eastAsiaTheme="minorEastAsia"/>
          <w:sz w:val="24"/>
        </w:rPr>
        <w:tab/>
      </w:r>
      <w:r>
        <w:rPr>
          <w:rFonts w:hint="eastAsia" w:asciiTheme="minorEastAsia" w:hAnsiTheme="minorEastAsia" w:eastAsiaTheme="minorEastAsia"/>
          <w:sz w:val="24"/>
        </w:rPr>
        <w:t>17</w:t>
      </w:r>
    </w:p>
    <w:p>
      <w:pPr>
        <w:pStyle w:val="14"/>
        <w:adjustRightInd w:val="0"/>
        <w:snapToGrid w:val="0"/>
        <w:spacing w:line="440" w:lineRule="exact"/>
        <w:jc w:val="left"/>
        <w:rPr>
          <w:rFonts w:asciiTheme="minorEastAsia" w:hAnsiTheme="minorEastAsia" w:eastAsiaTheme="minorEastAsia" w:cstheme="minorBidi"/>
          <w:sz w:val="24"/>
        </w:rPr>
      </w:pPr>
      <w:r>
        <w:rPr>
          <w:rFonts w:hint="eastAsia" w:asciiTheme="minorEastAsia" w:hAnsiTheme="minorEastAsia" w:eastAsiaTheme="minorEastAsia"/>
          <w:sz w:val="24"/>
        </w:rPr>
        <w:t>八、政府性基金预算支出决算情况说明</w:t>
      </w:r>
      <w:r>
        <w:rPr>
          <w:rFonts w:asciiTheme="minorEastAsia" w:hAnsiTheme="minorEastAsia" w:eastAsiaTheme="minorEastAsia"/>
          <w:sz w:val="24"/>
        </w:rPr>
        <w:tab/>
      </w:r>
      <w:r>
        <w:rPr>
          <w:rFonts w:hint="eastAsia" w:asciiTheme="minorEastAsia" w:hAnsiTheme="minorEastAsia" w:eastAsiaTheme="minorEastAsia"/>
          <w:sz w:val="24"/>
        </w:rPr>
        <w:t>19</w:t>
      </w:r>
    </w:p>
    <w:p>
      <w:pPr>
        <w:pStyle w:val="14"/>
        <w:adjustRightInd w:val="0"/>
        <w:snapToGrid w:val="0"/>
        <w:spacing w:line="440" w:lineRule="exact"/>
        <w:ind w:leftChars="0"/>
        <w:jc w:val="left"/>
        <w:rPr>
          <w:rFonts w:asciiTheme="minorEastAsia" w:hAnsiTheme="minorEastAsia" w:eastAsiaTheme="minorEastAsia"/>
          <w:sz w:val="24"/>
        </w:rPr>
      </w:pPr>
      <w:r>
        <w:rPr>
          <w:rFonts w:hint="eastAsia" w:asciiTheme="minorEastAsia" w:hAnsiTheme="minorEastAsia" w:eastAsiaTheme="minorEastAsia"/>
          <w:sz w:val="24"/>
        </w:rPr>
        <w:t>九、</w:t>
      </w:r>
      <w:r>
        <w:rPr>
          <w:rFonts w:asciiTheme="minorEastAsia" w:hAnsiTheme="minorEastAsia" w:eastAsiaTheme="minorEastAsia"/>
          <w:sz w:val="24"/>
        </w:rPr>
        <w:t xml:space="preserve"> 国</w:t>
      </w:r>
      <w:r>
        <w:rPr>
          <w:rFonts w:hint="eastAsia" w:asciiTheme="minorEastAsia" w:hAnsiTheme="minorEastAsia" w:eastAsiaTheme="minorEastAsia"/>
          <w:sz w:val="24"/>
        </w:rPr>
        <w:t>有资本经营预算支出决算情况说明</w:t>
      </w:r>
      <w:r>
        <w:rPr>
          <w:rFonts w:asciiTheme="minorEastAsia" w:hAnsiTheme="minorEastAsia" w:eastAsiaTheme="minorEastAsia"/>
          <w:sz w:val="24"/>
        </w:rPr>
        <w:tab/>
      </w:r>
      <w:r>
        <w:rPr>
          <w:rFonts w:hint="eastAsia" w:asciiTheme="minorEastAsia" w:hAnsiTheme="minorEastAsia" w:eastAsiaTheme="minorEastAsia"/>
          <w:sz w:val="24"/>
        </w:rPr>
        <w:t>19</w:t>
      </w:r>
    </w:p>
    <w:p>
      <w:pPr>
        <w:pStyle w:val="14"/>
        <w:adjustRightInd w:val="0"/>
        <w:snapToGrid w:val="0"/>
        <w:spacing w:line="440" w:lineRule="exact"/>
        <w:ind w:leftChars="0"/>
        <w:jc w:val="left"/>
        <w:rPr>
          <w:rFonts w:asciiTheme="minorEastAsia" w:hAnsiTheme="minorEastAsia" w:eastAsiaTheme="minorEastAsia"/>
          <w:sz w:val="24"/>
        </w:rPr>
      </w:pPr>
      <w:r>
        <w:rPr>
          <w:rFonts w:hint="eastAsia" w:asciiTheme="minorEastAsia" w:hAnsiTheme="minorEastAsia" w:eastAsiaTheme="minorEastAsia"/>
          <w:sz w:val="24"/>
        </w:rPr>
        <w:t>十、其他重要事项的情况说明</w:t>
      </w:r>
      <w:r>
        <w:rPr>
          <w:rFonts w:asciiTheme="minorEastAsia" w:hAnsiTheme="minorEastAsia" w:eastAsiaTheme="minorEastAsia"/>
          <w:sz w:val="24"/>
        </w:rPr>
        <w:tab/>
      </w:r>
      <w:r>
        <w:rPr>
          <w:rFonts w:hint="eastAsia" w:asciiTheme="minorEastAsia" w:hAnsiTheme="minorEastAsia" w:eastAsiaTheme="minorEastAsia"/>
          <w:sz w:val="24"/>
        </w:rPr>
        <w:t>19</w:t>
      </w:r>
    </w:p>
    <w:p>
      <w:pPr>
        <w:pStyle w:val="13"/>
        <w:adjustRightInd w:val="0"/>
        <w:snapToGrid w:val="0"/>
        <w:spacing w:before="0" w:line="440" w:lineRule="exact"/>
        <w:jc w:val="left"/>
        <w:rPr>
          <w:rFonts w:asciiTheme="minorEastAsia" w:hAnsiTheme="minorEastAsia" w:eastAsiaTheme="minorEastAsia" w:cstheme="minorBidi"/>
          <w:sz w:val="24"/>
          <w:szCs w:val="24"/>
        </w:rPr>
      </w:pPr>
      <w:r>
        <w:rPr>
          <w:rFonts w:hint="eastAsia" w:asciiTheme="minorEastAsia" w:hAnsiTheme="minorEastAsia" w:eastAsiaTheme="minorEastAsia"/>
          <w:sz w:val="24"/>
        </w:rPr>
        <w:t>第三部分名词解释</w:t>
      </w:r>
      <w:r>
        <w:rPr>
          <w:rFonts w:asciiTheme="minorEastAsia" w:hAnsiTheme="minorEastAsia" w:eastAsiaTheme="minorEastAsia"/>
          <w:sz w:val="24"/>
        </w:rPr>
        <w:tab/>
      </w:r>
      <w:r>
        <w:rPr>
          <w:rFonts w:hint="eastAsia" w:asciiTheme="minorEastAsia" w:hAnsiTheme="minorEastAsia" w:eastAsiaTheme="minorEastAsia"/>
          <w:sz w:val="24"/>
        </w:rPr>
        <w:t>30</w:t>
      </w:r>
    </w:p>
    <w:p>
      <w:pPr>
        <w:pStyle w:val="13"/>
        <w:adjustRightInd w:val="0"/>
        <w:snapToGrid w:val="0"/>
        <w:spacing w:before="0" w:line="440" w:lineRule="exact"/>
        <w:jc w:val="left"/>
        <w:rPr>
          <w:rFonts w:asciiTheme="minorEastAsia" w:hAnsiTheme="minorEastAsia" w:eastAsiaTheme="minorEastAsia" w:cstheme="minorBidi"/>
          <w:sz w:val="24"/>
          <w:szCs w:val="24"/>
        </w:rPr>
      </w:pPr>
      <w:r>
        <w:rPr>
          <w:rFonts w:hint="eastAsia" w:asciiTheme="minorEastAsia" w:hAnsiTheme="minorEastAsia" w:eastAsiaTheme="minorEastAsia"/>
          <w:sz w:val="24"/>
        </w:rPr>
        <w:t>第四部分附件</w:t>
      </w:r>
      <w:r>
        <w:rPr>
          <w:rFonts w:asciiTheme="minorEastAsia" w:hAnsiTheme="minorEastAsia" w:eastAsiaTheme="minorEastAsia"/>
          <w:sz w:val="24"/>
        </w:rPr>
        <w:tab/>
      </w:r>
      <w:r>
        <w:rPr>
          <w:rFonts w:hint="eastAsia" w:asciiTheme="minorEastAsia" w:hAnsiTheme="minorEastAsia" w:eastAsiaTheme="minorEastAsia"/>
          <w:sz w:val="24"/>
        </w:rPr>
        <w:t>34</w:t>
      </w:r>
    </w:p>
    <w:p>
      <w:pPr>
        <w:pStyle w:val="14"/>
        <w:adjustRightInd w:val="0"/>
        <w:snapToGrid w:val="0"/>
        <w:spacing w:line="440" w:lineRule="exact"/>
        <w:jc w:val="left"/>
        <w:rPr>
          <w:rFonts w:asciiTheme="minorEastAsia" w:hAnsiTheme="minorEastAsia" w:eastAsiaTheme="minorEastAsia" w:cstheme="minorBidi"/>
          <w:sz w:val="24"/>
        </w:rPr>
      </w:pPr>
      <w:r>
        <w:rPr>
          <w:rFonts w:hint="eastAsia" w:asciiTheme="minorEastAsia" w:hAnsiTheme="minorEastAsia" w:eastAsiaTheme="minorEastAsia"/>
          <w:sz w:val="24"/>
        </w:rPr>
        <w:t>附件</w:t>
      </w:r>
      <w:r>
        <w:rPr>
          <w:rFonts w:asciiTheme="minorEastAsia" w:hAnsiTheme="minorEastAsia" w:eastAsiaTheme="minorEastAsia"/>
          <w:sz w:val="24"/>
        </w:rPr>
        <w:tab/>
      </w:r>
      <w:r>
        <w:rPr>
          <w:rFonts w:hint="eastAsia" w:asciiTheme="minorEastAsia" w:hAnsiTheme="minorEastAsia" w:eastAsiaTheme="minorEastAsia"/>
          <w:sz w:val="24"/>
        </w:rPr>
        <w:t>34</w:t>
      </w:r>
    </w:p>
    <w:p>
      <w:pPr>
        <w:pStyle w:val="13"/>
        <w:adjustRightInd w:val="0"/>
        <w:snapToGrid w:val="0"/>
        <w:spacing w:before="0" w:line="440" w:lineRule="exact"/>
        <w:jc w:val="left"/>
        <w:rPr>
          <w:rFonts w:asciiTheme="minorEastAsia" w:hAnsiTheme="minorEastAsia" w:eastAsiaTheme="minorEastAsia" w:cstheme="minorBidi"/>
          <w:sz w:val="24"/>
          <w:szCs w:val="24"/>
        </w:rPr>
      </w:pPr>
      <w:r>
        <w:rPr>
          <w:rFonts w:hint="eastAsia" w:asciiTheme="minorEastAsia" w:hAnsiTheme="minorEastAsia" w:eastAsiaTheme="minorEastAsia"/>
          <w:sz w:val="24"/>
        </w:rPr>
        <w:t>第五部分附表</w:t>
      </w:r>
      <w:r>
        <w:rPr>
          <w:rFonts w:asciiTheme="minorEastAsia" w:hAnsiTheme="minorEastAsia" w:eastAsiaTheme="minorEastAsia"/>
          <w:sz w:val="24"/>
        </w:rPr>
        <w:tab/>
      </w:r>
      <w:r>
        <w:rPr>
          <w:rFonts w:hint="eastAsia" w:asciiTheme="minorEastAsia" w:hAnsiTheme="minorEastAsia" w:eastAsiaTheme="minorEastAsia"/>
          <w:sz w:val="24"/>
        </w:rPr>
        <w:t>38</w:t>
      </w:r>
    </w:p>
    <w:p>
      <w:pPr>
        <w:pStyle w:val="14"/>
        <w:adjustRightInd w:val="0"/>
        <w:snapToGrid w:val="0"/>
        <w:spacing w:line="440" w:lineRule="exact"/>
        <w:jc w:val="left"/>
        <w:rPr>
          <w:rFonts w:asciiTheme="minorEastAsia" w:hAnsiTheme="minorEastAsia" w:eastAsiaTheme="minorEastAsia" w:cstheme="minorBidi"/>
          <w:sz w:val="24"/>
        </w:rPr>
      </w:pPr>
      <w:r>
        <w:rPr>
          <w:rFonts w:hint="eastAsia" w:asciiTheme="minorEastAsia" w:hAnsiTheme="minorEastAsia" w:eastAsiaTheme="minorEastAsia"/>
          <w:sz w:val="24"/>
        </w:rPr>
        <w:t>一、收入支出决算总表</w:t>
      </w:r>
      <w:r>
        <w:rPr>
          <w:rFonts w:asciiTheme="minorEastAsia" w:hAnsiTheme="minorEastAsia" w:eastAsiaTheme="minorEastAsia"/>
          <w:sz w:val="24"/>
        </w:rPr>
        <w:tab/>
      </w:r>
      <w:r>
        <w:rPr>
          <w:rFonts w:hint="eastAsia" w:asciiTheme="minorEastAsia" w:hAnsiTheme="minorEastAsia" w:eastAsiaTheme="minorEastAsia"/>
          <w:sz w:val="24"/>
        </w:rPr>
        <w:t>38</w:t>
      </w:r>
    </w:p>
    <w:p>
      <w:pPr>
        <w:pStyle w:val="14"/>
        <w:adjustRightInd w:val="0"/>
        <w:snapToGrid w:val="0"/>
        <w:spacing w:line="440" w:lineRule="exact"/>
        <w:jc w:val="left"/>
        <w:rPr>
          <w:rFonts w:asciiTheme="minorEastAsia" w:hAnsiTheme="minorEastAsia" w:eastAsiaTheme="minorEastAsia" w:cstheme="minorBidi"/>
          <w:sz w:val="24"/>
        </w:rPr>
      </w:pPr>
      <w:r>
        <w:rPr>
          <w:rFonts w:hint="eastAsia" w:asciiTheme="minorEastAsia" w:hAnsiTheme="minorEastAsia" w:eastAsiaTheme="minorEastAsia"/>
          <w:sz w:val="24"/>
        </w:rPr>
        <w:t>二、收入决算表</w:t>
      </w:r>
      <w:r>
        <w:rPr>
          <w:rFonts w:asciiTheme="minorEastAsia" w:hAnsiTheme="minorEastAsia" w:eastAsiaTheme="minorEastAsia"/>
          <w:sz w:val="24"/>
        </w:rPr>
        <w:tab/>
      </w:r>
      <w:r>
        <w:rPr>
          <w:rFonts w:hint="eastAsia" w:asciiTheme="minorEastAsia" w:hAnsiTheme="minorEastAsia" w:eastAsiaTheme="minorEastAsia"/>
          <w:sz w:val="24"/>
        </w:rPr>
        <w:t>39</w:t>
      </w:r>
    </w:p>
    <w:p>
      <w:pPr>
        <w:pStyle w:val="14"/>
        <w:adjustRightInd w:val="0"/>
        <w:snapToGrid w:val="0"/>
        <w:spacing w:line="440" w:lineRule="exact"/>
        <w:jc w:val="left"/>
        <w:rPr>
          <w:rFonts w:asciiTheme="minorEastAsia" w:hAnsiTheme="minorEastAsia" w:eastAsiaTheme="minorEastAsia" w:cstheme="minorBidi"/>
          <w:sz w:val="24"/>
        </w:rPr>
      </w:pPr>
      <w:r>
        <w:rPr>
          <w:rFonts w:hint="eastAsia" w:asciiTheme="minorEastAsia" w:hAnsiTheme="minorEastAsia" w:eastAsiaTheme="minorEastAsia"/>
          <w:sz w:val="24"/>
        </w:rPr>
        <w:t>三、支出决算表</w:t>
      </w:r>
      <w:r>
        <w:rPr>
          <w:rFonts w:asciiTheme="minorEastAsia" w:hAnsiTheme="minorEastAsia" w:eastAsiaTheme="minorEastAsia"/>
          <w:sz w:val="24"/>
        </w:rPr>
        <w:tab/>
      </w:r>
      <w:r>
        <w:rPr>
          <w:rFonts w:hint="eastAsia" w:asciiTheme="minorEastAsia" w:hAnsiTheme="minorEastAsia" w:eastAsiaTheme="minorEastAsia"/>
          <w:sz w:val="24"/>
        </w:rPr>
        <w:t>40</w:t>
      </w:r>
    </w:p>
    <w:p>
      <w:pPr>
        <w:pStyle w:val="14"/>
        <w:adjustRightInd w:val="0"/>
        <w:snapToGrid w:val="0"/>
        <w:spacing w:line="440" w:lineRule="exact"/>
        <w:jc w:val="left"/>
        <w:rPr>
          <w:rFonts w:asciiTheme="minorEastAsia" w:hAnsiTheme="minorEastAsia" w:eastAsiaTheme="minorEastAsia" w:cstheme="minorBidi"/>
          <w:sz w:val="24"/>
        </w:rPr>
      </w:pPr>
      <w:r>
        <w:rPr>
          <w:rFonts w:hint="eastAsia" w:asciiTheme="minorEastAsia" w:hAnsiTheme="minorEastAsia" w:eastAsiaTheme="minorEastAsia"/>
          <w:sz w:val="24"/>
        </w:rPr>
        <w:t>四、财政拨款收入支出决算总表</w:t>
      </w:r>
      <w:r>
        <w:rPr>
          <w:rFonts w:asciiTheme="minorEastAsia" w:hAnsiTheme="minorEastAsia" w:eastAsiaTheme="minorEastAsia"/>
          <w:sz w:val="24"/>
        </w:rPr>
        <w:tab/>
      </w:r>
      <w:r>
        <w:rPr>
          <w:rFonts w:hint="eastAsia" w:asciiTheme="minorEastAsia" w:hAnsiTheme="minorEastAsia" w:eastAsiaTheme="minorEastAsia"/>
          <w:sz w:val="24"/>
        </w:rPr>
        <w:t>41</w:t>
      </w:r>
    </w:p>
    <w:p>
      <w:pPr>
        <w:pStyle w:val="14"/>
        <w:adjustRightInd w:val="0"/>
        <w:snapToGrid w:val="0"/>
        <w:spacing w:line="440" w:lineRule="exact"/>
        <w:jc w:val="left"/>
        <w:rPr>
          <w:rFonts w:asciiTheme="minorEastAsia" w:hAnsiTheme="minorEastAsia" w:eastAsiaTheme="minorEastAsia"/>
          <w:sz w:val="24"/>
        </w:rPr>
      </w:pPr>
      <w:r>
        <w:rPr>
          <w:rFonts w:hint="eastAsia" w:asciiTheme="minorEastAsia" w:hAnsiTheme="minorEastAsia" w:eastAsiaTheme="minorEastAsia"/>
          <w:sz w:val="24"/>
        </w:rPr>
        <w:t>五、财政拨款支出决算明细表</w:t>
      </w:r>
      <w:r>
        <w:rPr>
          <w:rFonts w:asciiTheme="minorEastAsia" w:hAnsiTheme="minorEastAsia" w:eastAsiaTheme="minorEastAsia"/>
          <w:sz w:val="24"/>
        </w:rPr>
        <w:tab/>
      </w:r>
      <w:r>
        <w:rPr>
          <w:rFonts w:hint="eastAsia" w:asciiTheme="minorEastAsia" w:hAnsiTheme="minorEastAsia" w:eastAsiaTheme="minorEastAsia"/>
          <w:sz w:val="24"/>
        </w:rPr>
        <w:t>42</w:t>
      </w:r>
    </w:p>
    <w:p>
      <w:pPr>
        <w:pStyle w:val="14"/>
        <w:adjustRightInd w:val="0"/>
        <w:snapToGrid w:val="0"/>
        <w:spacing w:line="440" w:lineRule="exact"/>
        <w:jc w:val="left"/>
        <w:rPr>
          <w:rFonts w:asciiTheme="minorEastAsia" w:hAnsiTheme="minorEastAsia" w:eastAsiaTheme="minorEastAsia" w:cstheme="minorBidi"/>
          <w:sz w:val="24"/>
        </w:rPr>
      </w:pPr>
      <w:r>
        <w:rPr>
          <w:rFonts w:hint="eastAsia" w:asciiTheme="minorEastAsia" w:hAnsiTheme="minorEastAsia" w:eastAsiaTheme="minorEastAsia"/>
          <w:sz w:val="24"/>
        </w:rPr>
        <w:t>六、一般公共预算财政拨款支出决算表</w:t>
      </w:r>
      <w:r>
        <w:rPr>
          <w:rFonts w:asciiTheme="minorEastAsia" w:hAnsiTheme="minorEastAsia" w:eastAsiaTheme="minorEastAsia"/>
          <w:sz w:val="24"/>
        </w:rPr>
        <w:tab/>
      </w:r>
      <w:r>
        <w:rPr>
          <w:rFonts w:hint="eastAsia" w:asciiTheme="minorEastAsia" w:hAnsiTheme="minorEastAsia" w:eastAsiaTheme="minorEastAsia"/>
          <w:sz w:val="24"/>
        </w:rPr>
        <w:t>43</w:t>
      </w:r>
    </w:p>
    <w:p>
      <w:pPr>
        <w:pStyle w:val="14"/>
        <w:adjustRightInd w:val="0"/>
        <w:snapToGrid w:val="0"/>
        <w:spacing w:line="440" w:lineRule="exact"/>
        <w:jc w:val="left"/>
        <w:rPr>
          <w:rFonts w:asciiTheme="minorEastAsia" w:hAnsiTheme="minorEastAsia" w:eastAsiaTheme="minorEastAsia" w:cstheme="minorBidi"/>
          <w:sz w:val="24"/>
        </w:rPr>
      </w:pPr>
      <w:r>
        <w:rPr>
          <w:rFonts w:hint="eastAsia" w:asciiTheme="minorEastAsia" w:hAnsiTheme="minorEastAsia" w:eastAsiaTheme="minorEastAsia"/>
          <w:sz w:val="24"/>
        </w:rPr>
        <w:t>七、一般公共预算财政拨款支出决算明细表</w:t>
      </w:r>
      <w:r>
        <w:rPr>
          <w:rFonts w:asciiTheme="minorEastAsia" w:hAnsiTheme="minorEastAsia" w:eastAsiaTheme="minorEastAsia"/>
          <w:sz w:val="24"/>
        </w:rPr>
        <w:tab/>
      </w:r>
      <w:r>
        <w:rPr>
          <w:rFonts w:hint="eastAsia" w:asciiTheme="minorEastAsia" w:hAnsiTheme="minorEastAsia" w:eastAsiaTheme="minorEastAsia"/>
          <w:sz w:val="24"/>
        </w:rPr>
        <w:t>44</w:t>
      </w:r>
    </w:p>
    <w:p>
      <w:pPr>
        <w:pStyle w:val="14"/>
        <w:adjustRightInd w:val="0"/>
        <w:snapToGrid w:val="0"/>
        <w:spacing w:line="440" w:lineRule="exact"/>
        <w:jc w:val="left"/>
        <w:rPr>
          <w:rFonts w:ascii="仿宋" w:hAnsi="仿宋" w:eastAsia="仿宋" w:cstheme="minorBidi"/>
          <w:sz w:val="24"/>
        </w:rPr>
      </w:pPr>
      <w:r>
        <w:rPr>
          <w:rFonts w:hint="eastAsia" w:ascii="仿宋" w:hAnsi="仿宋" w:eastAsia="仿宋"/>
          <w:sz w:val="24"/>
        </w:rPr>
        <w:t>八、</w:t>
      </w:r>
      <w:r>
        <w:rPr>
          <w:rFonts w:hint="eastAsia"/>
          <w:sz w:val="24"/>
        </w:rPr>
        <w:t>一般公共预算财政拨款基本支出决算表</w:t>
      </w:r>
      <w:r>
        <w:rPr>
          <w:rFonts w:asciiTheme="minorEastAsia" w:hAnsiTheme="minorEastAsia" w:eastAsiaTheme="minorEastAsia"/>
          <w:sz w:val="24"/>
        </w:rPr>
        <w:tab/>
      </w:r>
      <w:r>
        <w:rPr>
          <w:rFonts w:hint="eastAsia" w:asciiTheme="minorEastAsia" w:hAnsiTheme="minorEastAsia" w:eastAsiaTheme="minorEastAsia"/>
          <w:sz w:val="24"/>
        </w:rPr>
        <w:t>45</w:t>
      </w:r>
    </w:p>
    <w:p>
      <w:pPr>
        <w:pStyle w:val="14"/>
        <w:adjustRightInd w:val="0"/>
        <w:snapToGrid w:val="0"/>
        <w:spacing w:line="440" w:lineRule="exact"/>
        <w:jc w:val="left"/>
        <w:rPr>
          <w:rFonts w:ascii="仿宋" w:hAnsi="仿宋" w:eastAsia="仿宋" w:cstheme="minorBidi"/>
          <w:sz w:val="24"/>
        </w:rPr>
      </w:pPr>
      <w:r>
        <w:rPr>
          <w:rFonts w:hint="eastAsia" w:ascii="仿宋" w:hAnsi="仿宋" w:eastAsia="仿宋"/>
          <w:sz w:val="24"/>
        </w:rPr>
        <w:t>九、</w:t>
      </w:r>
      <w:r>
        <w:rPr>
          <w:rFonts w:hint="eastAsia"/>
          <w:sz w:val="24"/>
        </w:rPr>
        <w:t>一般公共预算财政拨款项目支出决算表</w:t>
      </w:r>
      <w:r>
        <w:rPr>
          <w:rFonts w:asciiTheme="minorEastAsia" w:hAnsiTheme="minorEastAsia" w:eastAsiaTheme="minorEastAsia"/>
          <w:sz w:val="24"/>
        </w:rPr>
        <w:tab/>
      </w:r>
      <w:r>
        <w:rPr>
          <w:rFonts w:hint="eastAsia" w:asciiTheme="minorEastAsia" w:hAnsiTheme="minorEastAsia" w:eastAsiaTheme="minorEastAsia"/>
          <w:sz w:val="24"/>
        </w:rPr>
        <w:t>46</w:t>
      </w:r>
    </w:p>
    <w:p>
      <w:pPr>
        <w:pStyle w:val="14"/>
        <w:adjustRightInd w:val="0"/>
        <w:snapToGrid w:val="0"/>
        <w:spacing w:line="440" w:lineRule="exact"/>
        <w:jc w:val="left"/>
        <w:rPr>
          <w:rFonts w:ascii="仿宋" w:hAnsi="仿宋" w:eastAsia="仿宋" w:cstheme="minorBidi"/>
          <w:sz w:val="24"/>
        </w:rPr>
      </w:pPr>
      <w:r>
        <w:rPr>
          <w:rFonts w:hint="eastAsia" w:ascii="仿宋" w:hAnsi="仿宋" w:eastAsia="仿宋"/>
          <w:sz w:val="24"/>
        </w:rPr>
        <w:t>十、</w:t>
      </w:r>
      <w:r>
        <w:rPr>
          <w:rFonts w:hint="eastAsia"/>
          <w:sz w:val="24"/>
        </w:rPr>
        <w:t>一般公共预算财政拨款“三公”经费支出决算表</w:t>
      </w:r>
      <w:r>
        <w:rPr>
          <w:rFonts w:asciiTheme="minorEastAsia" w:hAnsiTheme="minorEastAsia" w:eastAsiaTheme="minorEastAsia"/>
          <w:sz w:val="24"/>
        </w:rPr>
        <w:tab/>
      </w:r>
      <w:r>
        <w:rPr>
          <w:rFonts w:hint="eastAsia" w:asciiTheme="minorEastAsia" w:hAnsiTheme="minorEastAsia" w:eastAsiaTheme="minorEastAsia"/>
          <w:sz w:val="24"/>
        </w:rPr>
        <w:t>47</w:t>
      </w:r>
    </w:p>
    <w:p>
      <w:pPr>
        <w:pStyle w:val="14"/>
        <w:adjustRightInd w:val="0"/>
        <w:snapToGrid w:val="0"/>
        <w:spacing w:line="440" w:lineRule="exact"/>
        <w:jc w:val="left"/>
        <w:rPr>
          <w:rFonts w:ascii="仿宋" w:hAnsi="仿宋" w:eastAsia="仿宋" w:cstheme="minorBidi"/>
          <w:sz w:val="24"/>
        </w:rPr>
      </w:pPr>
      <w:r>
        <w:rPr>
          <w:rFonts w:hint="eastAsia" w:ascii="仿宋" w:hAnsi="仿宋" w:eastAsia="仿宋"/>
          <w:sz w:val="24"/>
        </w:rPr>
        <w:t>十一、</w:t>
      </w:r>
      <w:r>
        <w:rPr>
          <w:rFonts w:hint="eastAsia"/>
          <w:sz w:val="24"/>
        </w:rPr>
        <w:t>政府性基金预算财政拨款收入支出决算表</w:t>
      </w:r>
      <w:r>
        <w:rPr>
          <w:rFonts w:asciiTheme="minorEastAsia" w:hAnsiTheme="minorEastAsia" w:eastAsiaTheme="minorEastAsia"/>
          <w:sz w:val="24"/>
        </w:rPr>
        <w:tab/>
      </w:r>
      <w:r>
        <w:rPr>
          <w:rFonts w:hint="eastAsia" w:asciiTheme="minorEastAsia" w:hAnsiTheme="minorEastAsia" w:eastAsiaTheme="minorEastAsia"/>
          <w:sz w:val="24"/>
        </w:rPr>
        <w:t>48</w:t>
      </w:r>
    </w:p>
    <w:p>
      <w:pPr>
        <w:pStyle w:val="14"/>
        <w:adjustRightInd w:val="0"/>
        <w:snapToGrid w:val="0"/>
        <w:spacing w:line="440" w:lineRule="exact"/>
        <w:jc w:val="left"/>
        <w:rPr>
          <w:rFonts w:ascii="仿宋" w:hAnsi="仿宋" w:eastAsia="仿宋" w:cstheme="minorBidi"/>
          <w:sz w:val="24"/>
        </w:rPr>
      </w:pPr>
      <w:r>
        <w:rPr>
          <w:rFonts w:hint="eastAsia" w:ascii="仿宋" w:hAnsi="仿宋" w:eastAsia="仿宋"/>
          <w:sz w:val="24"/>
        </w:rPr>
        <w:t>十二、</w:t>
      </w:r>
      <w:r>
        <w:rPr>
          <w:rFonts w:hint="eastAsia"/>
          <w:sz w:val="24"/>
        </w:rPr>
        <w:t>政府性基金预算财政拨款“三公”经费支出决算表</w:t>
      </w:r>
      <w:r>
        <w:rPr>
          <w:rFonts w:asciiTheme="minorEastAsia" w:hAnsiTheme="minorEastAsia" w:eastAsiaTheme="minorEastAsia"/>
          <w:sz w:val="24"/>
        </w:rPr>
        <w:tab/>
      </w:r>
      <w:r>
        <w:rPr>
          <w:rFonts w:hint="eastAsia" w:asciiTheme="minorEastAsia" w:hAnsiTheme="minorEastAsia" w:eastAsiaTheme="minorEastAsia"/>
          <w:sz w:val="24"/>
        </w:rPr>
        <w:t>49</w:t>
      </w:r>
    </w:p>
    <w:p>
      <w:pPr>
        <w:pStyle w:val="14"/>
        <w:adjustRightInd w:val="0"/>
        <w:snapToGrid w:val="0"/>
        <w:spacing w:line="440" w:lineRule="exact"/>
        <w:jc w:val="left"/>
        <w:rPr>
          <w:rFonts w:ascii="仿宋" w:hAnsi="仿宋" w:eastAsia="仿宋" w:cstheme="minorBidi"/>
          <w:sz w:val="24"/>
        </w:rPr>
      </w:pPr>
      <w:r>
        <w:rPr>
          <w:rFonts w:hint="eastAsia" w:ascii="仿宋" w:hAnsi="仿宋" w:eastAsia="仿宋"/>
          <w:sz w:val="24"/>
        </w:rPr>
        <w:t>十三、</w:t>
      </w:r>
      <w:r>
        <w:rPr>
          <w:rFonts w:hint="eastAsia"/>
          <w:sz w:val="24"/>
        </w:rPr>
        <w:t>国有资本经营预算支出决算表</w:t>
      </w:r>
      <w:r>
        <w:rPr>
          <w:rFonts w:asciiTheme="minorEastAsia" w:hAnsiTheme="minorEastAsia" w:eastAsiaTheme="minorEastAsia"/>
          <w:sz w:val="24"/>
        </w:rPr>
        <w:tab/>
      </w:r>
      <w:r>
        <w:rPr>
          <w:rFonts w:hint="eastAsia" w:asciiTheme="minorEastAsia" w:hAnsiTheme="minorEastAsia" w:eastAsiaTheme="minorEastAsia"/>
          <w:sz w:val="24"/>
        </w:rPr>
        <w:t>50</w:t>
      </w:r>
    </w:p>
    <w:p>
      <w:pPr>
        <w:widowControl/>
        <w:adjustRightInd w:val="0"/>
        <w:snapToGrid w:val="0"/>
        <w:spacing w:line="440" w:lineRule="exact"/>
        <w:ind w:firstLine="1325" w:firstLineChars="550"/>
        <w:jc w:val="left"/>
        <w:rPr>
          <w:rFonts w:ascii="仿宋" w:hAnsi="仿宋" w:eastAsia="仿宋"/>
          <w:bCs/>
          <w:kern w:val="44"/>
          <w:sz w:val="24"/>
        </w:rPr>
      </w:pPr>
      <w:r>
        <w:rPr>
          <w:rFonts w:ascii="仿宋" w:hAnsi="仿宋" w:eastAsia="仿宋"/>
          <w:b/>
          <w:sz w:val="24"/>
        </w:rPr>
        <w:br w:type="page"/>
      </w:r>
      <w:bookmarkEnd w:id="0"/>
    </w:p>
    <w:p>
      <w:pPr>
        <w:pStyle w:val="4"/>
        <w:jc w:val="center"/>
        <w:rPr>
          <w:rStyle w:val="22"/>
          <w:rFonts w:ascii="黑体" w:hAnsi="黑体" w:eastAsia="黑体"/>
          <w:b w:val="0"/>
          <w:bCs w:val="0"/>
        </w:rPr>
      </w:pPr>
      <w:r>
        <w:rPr>
          <w:rFonts w:hint="eastAsia" w:ascii="黑体" w:hAnsi="黑体" w:eastAsia="黑体"/>
          <w:b w:val="0"/>
        </w:rPr>
        <w:t xml:space="preserve">第一部分 </w:t>
      </w:r>
      <w:r>
        <w:rPr>
          <w:rStyle w:val="22"/>
          <w:rFonts w:hint="eastAsia" w:ascii="黑体" w:hAnsi="黑体" w:eastAsia="黑体"/>
          <w:b w:val="0"/>
          <w:bCs w:val="0"/>
        </w:rPr>
        <w:t>部门概况</w:t>
      </w:r>
    </w:p>
    <w:p>
      <w:pPr>
        <w:pStyle w:val="4"/>
        <w:rPr>
          <w:rStyle w:val="24"/>
          <w:rFonts w:ascii="黑体" w:hAnsi="黑体" w:eastAsia="黑体" w:cs="黑体"/>
          <w:b w:val="0"/>
          <w:bCs w:val="0"/>
          <w:kern w:val="2"/>
        </w:rPr>
      </w:pPr>
      <w:r>
        <w:rPr>
          <w:rStyle w:val="24"/>
          <w:rFonts w:hint="eastAsia" w:ascii="黑体" w:hAnsi="黑体" w:eastAsia="黑体" w:cs="黑体"/>
          <w:b w:val="0"/>
          <w:bCs w:val="0"/>
        </w:rPr>
        <w:t>一、基本职能及主要工作</w:t>
      </w:r>
    </w:p>
    <w:p>
      <w:pPr>
        <w:pStyle w:val="9"/>
        <w:adjustRightInd w:val="0"/>
        <w:snapToGrid w:val="0"/>
        <w:spacing w:before="72" w:line="600" w:lineRule="exact"/>
        <w:ind w:firstLine="675" w:firstLineChars="210"/>
        <w:outlineLvl w:val="2"/>
        <w:rPr>
          <w:rFonts w:ascii="楷体_GB2312" w:hAnsi="仿宋" w:eastAsia="楷体_GB2312" w:cs="仿宋"/>
          <w:b/>
          <w:color w:val="000000"/>
          <w:sz w:val="32"/>
          <w:szCs w:val="32"/>
        </w:rPr>
      </w:pPr>
      <w:r>
        <w:rPr>
          <w:rFonts w:hint="eastAsia" w:ascii="楷体_GB2312" w:hAnsi="仿宋" w:eastAsia="楷体_GB2312" w:cs="仿宋"/>
          <w:b/>
          <w:color w:val="000000"/>
          <w:sz w:val="32"/>
          <w:szCs w:val="32"/>
        </w:rPr>
        <w:t>（一）主要职能。</w:t>
      </w:r>
    </w:p>
    <w:p>
      <w:pPr>
        <w:pStyle w:val="9"/>
        <w:spacing w:before="72" w:line="600" w:lineRule="exact"/>
        <w:ind w:firstLine="675"/>
        <w:outlineLvl w:val="2"/>
        <w:rPr>
          <w:rFonts w:ascii="仿宋_GB2312" w:eastAsia="仿宋_GB2312" w:cs="仿宋_GB2312"/>
          <w:bCs/>
          <w:spacing w:val="15"/>
          <w:sz w:val="32"/>
          <w:szCs w:val="32"/>
          <w:shd w:val="clear" w:color="auto" w:fill="FFFFFF"/>
        </w:rPr>
      </w:pPr>
      <w:r>
        <w:rPr>
          <w:rFonts w:hint="eastAsia" w:ascii="仿宋_GB2312" w:eastAsia="仿宋_GB2312" w:cs="仿宋_GB2312"/>
          <w:bCs/>
          <w:spacing w:val="15"/>
          <w:sz w:val="32"/>
          <w:szCs w:val="32"/>
          <w:shd w:val="clear" w:color="auto" w:fill="FFFFFF"/>
        </w:rPr>
        <w:t>1.负责宣传贯彻执行国家、省、市有关城市市容卫生综合管理和城市管理行政执法方面的法律、法规、规章和政策；负责起草相关规范性文件，经批准后组织实施；负责本系统、本部门依法行政工作，负责研究制定城市管理的年度计划和中长期规划。</w:t>
      </w:r>
    </w:p>
    <w:p>
      <w:pPr>
        <w:pStyle w:val="9"/>
        <w:spacing w:before="72" w:line="600" w:lineRule="exact"/>
        <w:ind w:firstLine="675"/>
        <w:outlineLvl w:val="2"/>
        <w:rPr>
          <w:rFonts w:ascii="仿宋_GB2312" w:eastAsia="仿宋_GB2312" w:cs="仿宋_GB2312"/>
          <w:bCs/>
          <w:spacing w:val="15"/>
          <w:sz w:val="32"/>
          <w:szCs w:val="32"/>
          <w:shd w:val="clear" w:color="auto" w:fill="FFFFFF"/>
        </w:rPr>
      </w:pPr>
      <w:r>
        <w:rPr>
          <w:rFonts w:hint="eastAsia" w:ascii="仿宋_GB2312" w:eastAsia="仿宋_GB2312" w:cs="仿宋_GB2312"/>
          <w:bCs/>
          <w:spacing w:val="15"/>
          <w:sz w:val="32"/>
          <w:szCs w:val="32"/>
          <w:shd w:val="clear" w:color="auto" w:fill="FFFFFF"/>
        </w:rPr>
        <w:t>2.负责建成区内市容环境卫生和市容市貌工作，组织协调专项治理和城市管理重大活动。</w:t>
      </w:r>
    </w:p>
    <w:p>
      <w:pPr>
        <w:pStyle w:val="9"/>
        <w:spacing w:before="72" w:line="600" w:lineRule="exact"/>
        <w:ind w:firstLine="675"/>
        <w:outlineLvl w:val="2"/>
        <w:rPr>
          <w:rFonts w:ascii="仿宋_GB2312" w:eastAsia="仿宋_GB2312" w:cs="仿宋_GB2312"/>
          <w:bCs/>
          <w:spacing w:val="15"/>
          <w:sz w:val="32"/>
          <w:szCs w:val="32"/>
          <w:shd w:val="clear" w:color="auto" w:fill="FFFFFF"/>
        </w:rPr>
      </w:pPr>
      <w:r>
        <w:rPr>
          <w:rFonts w:hint="eastAsia" w:ascii="仿宋_GB2312" w:eastAsia="仿宋_GB2312" w:cs="仿宋_GB2312"/>
          <w:bCs/>
          <w:spacing w:val="15"/>
          <w:sz w:val="32"/>
          <w:szCs w:val="32"/>
          <w:shd w:val="clear" w:color="auto" w:fill="FFFFFF"/>
        </w:rPr>
        <w:t>3.负责市政设施、园林绿化、城市照明、城市公园管理维护等方面工作及户外广告等管理利用。</w:t>
      </w:r>
    </w:p>
    <w:p>
      <w:pPr>
        <w:pStyle w:val="9"/>
        <w:spacing w:before="72" w:line="600" w:lineRule="exact"/>
        <w:ind w:firstLine="675"/>
        <w:outlineLvl w:val="2"/>
        <w:rPr>
          <w:rFonts w:ascii="仿宋_GB2312" w:eastAsia="仿宋_GB2312" w:cs="仿宋_GB2312"/>
          <w:bCs/>
          <w:spacing w:val="15"/>
          <w:sz w:val="32"/>
          <w:szCs w:val="32"/>
          <w:shd w:val="clear" w:color="auto" w:fill="FFFFFF"/>
        </w:rPr>
      </w:pPr>
      <w:r>
        <w:rPr>
          <w:rFonts w:hint="eastAsia" w:ascii="仿宋_GB2312" w:eastAsia="仿宋_GB2312" w:cs="仿宋_GB2312"/>
          <w:bCs/>
          <w:spacing w:val="15"/>
          <w:sz w:val="32"/>
          <w:szCs w:val="32"/>
          <w:shd w:val="clear" w:color="auto" w:fill="FFFFFF"/>
        </w:rPr>
        <w:t>4.负责制定职责范围内的城市维护费（新、改、扩建市政设施部分除外）和专项经费的年度计划和局属事业单位的资金核拨，并对使用情况实施监督。</w:t>
      </w:r>
    </w:p>
    <w:p>
      <w:pPr>
        <w:pStyle w:val="9"/>
        <w:spacing w:before="72" w:line="600" w:lineRule="exact"/>
        <w:ind w:firstLine="675"/>
        <w:outlineLvl w:val="2"/>
        <w:rPr>
          <w:rFonts w:ascii="仿宋_GB2312" w:eastAsia="仿宋_GB2312" w:cs="仿宋_GB2312"/>
          <w:bCs/>
          <w:spacing w:val="15"/>
          <w:sz w:val="32"/>
          <w:szCs w:val="32"/>
          <w:shd w:val="clear" w:color="auto" w:fill="FFFFFF"/>
        </w:rPr>
      </w:pPr>
      <w:r>
        <w:rPr>
          <w:rFonts w:hint="eastAsia" w:ascii="仿宋_GB2312" w:eastAsia="仿宋_GB2312" w:cs="仿宋_GB2312"/>
          <w:bCs/>
          <w:spacing w:val="15"/>
          <w:sz w:val="32"/>
          <w:szCs w:val="32"/>
          <w:shd w:val="clear" w:color="auto" w:fill="FFFFFF"/>
        </w:rPr>
        <w:t>5.住房城乡建设领域法律法规规章规定的全部行政处罚权。</w:t>
      </w:r>
    </w:p>
    <w:p>
      <w:pPr>
        <w:pStyle w:val="9"/>
        <w:spacing w:before="72" w:line="600" w:lineRule="exact"/>
        <w:ind w:firstLine="675"/>
        <w:outlineLvl w:val="2"/>
        <w:rPr>
          <w:rFonts w:ascii="仿宋_GB2312" w:eastAsia="仿宋_GB2312" w:cs="仿宋_GB2312"/>
          <w:bCs/>
          <w:spacing w:val="15"/>
          <w:sz w:val="32"/>
          <w:szCs w:val="32"/>
          <w:shd w:val="clear" w:color="auto" w:fill="FFFFFF"/>
        </w:rPr>
      </w:pPr>
      <w:r>
        <w:rPr>
          <w:rFonts w:hint="eastAsia" w:ascii="仿宋_GB2312" w:eastAsia="仿宋_GB2312" w:cs="仿宋_GB2312"/>
          <w:bCs/>
          <w:spacing w:val="15"/>
          <w:sz w:val="32"/>
          <w:szCs w:val="32"/>
          <w:shd w:val="clear" w:color="auto" w:fill="FFFFFF"/>
        </w:rPr>
        <w:t>6.生态环境管理方面社会生活噪声污染、建筑施工噪声污染、建筑施工扬尘污染、餐饮服务业油烟污染、露天烧烤污染、城市焚烧沥青塑料垃圾等烟尘和恶臭污染、露天焚烧秸秆落叶等烟尘污染、燃放烟花爆竹污染等的行政处罚权。</w:t>
      </w:r>
    </w:p>
    <w:p>
      <w:pPr>
        <w:pStyle w:val="9"/>
        <w:spacing w:before="72" w:line="600" w:lineRule="exact"/>
        <w:ind w:firstLine="675"/>
        <w:outlineLvl w:val="2"/>
        <w:rPr>
          <w:rFonts w:ascii="仿宋_GB2312" w:eastAsia="仿宋_GB2312" w:cs="仿宋_GB2312"/>
          <w:bCs/>
          <w:spacing w:val="15"/>
          <w:sz w:val="32"/>
          <w:szCs w:val="32"/>
          <w:shd w:val="clear" w:color="auto" w:fill="FFFFFF"/>
        </w:rPr>
      </w:pPr>
      <w:r>
        <w:rPr>
          <w:rFonts w:hint="eastAsia" w:ascii="仿宋_GB2312" w:eastAsia="仿宋_GB2312" w:cs="仿宋_GB2312"/>
          <w:bCs/>
          <w:spacing w:val="15"/>
          <w:sz w:val="32"/>
          <w:szCs w:val="32"/>
          <w:shd w:val="clear" w:color="auto" w:fill="FFFFFF"/>
        </w:rPr>
        <w:t>7.市场监督管理管理方面户外公共场所无照经营、违规设置户外广告的行政处罚权。</w:t>
      </w:r>
    </w:p>
    <w:p>
      <w:pPr>
        <w:pStyle w:val="9"/>
        <w:spacing w:before="72" w:line="600" w:lineRule="exact"/>
        <w:ind w:firstLine="675"/>
        <w:outlineLvl w:val="2"/>
        <w:rPr>
          <w:rFonts w:ascii="仿宋_GB2312" w:eastAsia="仿宋_GB2312" w:cs="仿宋_GB2312"/>
          <w:bCs/>
          <w:spacing w:val="15"/>
          <w:sz w:val="32"/>
          <w:szCs w:val="32"/>
          <w:shd w:val="clear" w:color="auto" w:fill="FFFFFF"/>
        </w:rPr>
      </w:pPr>
      <w:r>
        <w:rPr>
          <w:rFonts w:hint="eastAsia" w:ascii="仿宋_GB2312" w:eastAsia="仿宋_GB2312" w:cs="仿宋_GB2312"/>
          <w:bCs/>
          <w:spacing w:val="15"/>
          <w:sz w:val="32"/>
          <w:szCs w:val="32"/>
          <w:shd w:val="clear" w:color="auto" w:fill="FFFFFF"/>
        </w:rPr>
        <w:t>8.水利管理方面向城市河道倾倒废弃物和垃圾及违规取土、城市河道违法建筑物拆除等的行政处罚权。</w:t>
      </w:r>
    </w:p>
    <w:p>
      <w:pPr>
        <w:pStyle w:val="9"/>
        <w:spacing w:before="72" w:line="600" w:lineRule="exact"/>
        <w:ind w:firstLine="675"/>
        <w:outlineLvl w:val="2"/>
        <w:rPr>
          <w:rFonts w:ascii="仿宋_GB2312" w:eastAsia="仿宋_GB2312" w:cs="仿宋_GB2312"/>
          <w:bCs/>
          <w:spacing w:val="15"/>
          <w:sz w:val="32"/>
          <w:szCs w:val="32"/>
          <w:shd w:val="clear" w:color="auto" w:fill="FFFFFF"/>
        </w:rPr>
      </w:pPr>
      <w:r>
        <w:rPr>
          <w:rFonts w:hint="eastAsia" w:ascii="仿宋_GB2312" w:eastAsia="仿宋_GB2312" w:cs="仿宋_GB2312"/>
          <w:bCs/>
          <w:spacing w:val="15"/>
          <w:sz w:val="32"/>
          <w:szCs w:val="32"/>
          <w:shd w:val="clear" w:color="auto" w:fill="FFFFFF"/>
        </w:rPr>
        <w:t>9.食品药品监管方面户外公共场所食品销售和餐饮摊点无证经营、违法回收贩卖药品等的行政处罚权。</w:t>
      </w:r>
    </w:p>
    <w:p>
      <w:pPr>
        <w:pStyle w:val="9"/>
        <w:spacing w:before="72" w:line="600" w:lineRule="exact"/>
        <w:ind w:firstLine="675"/>
        <w:outlineLvl w:val="2"/>
        <w:rPr>
          <w:rFonts w:ascii="仿宋_GB2312" w:eastAsia="仿宋_GB2312" w:cs="仿宋_GB2312"/>
          <w:bCs/>
          <w:spacing w:val="15"/>
          <w:sz w:val="32"/>
          <w:szCs w:val="32"/>
          <w:shd w:val="clear" w:color="auto" w:fill="FFFFFF"/>
        </w:rPr>
      </w:pPr>
      <w:r>
        <w:rPr>
          <w:rFonts w:hint="eastAsia" w:ascii="仿宋_GB2312" w:eastAsia="仿宋_GB2312" w:cs="仿宋_GB2312"/>
          <w:bCs/>
          <w:spacing w:val="15"/>
          <w:sz w:val="32"/>
          <w:szCs w:val="32"/>
          <w:shd w:val="clear" w:color="auto" w:fill="FFFFFF"/>
        </w:rPr>
        <w:t>10.承担市政府公布的行政审批和公共服务事项。</w:t>
      </w:r>
    </w:p>
    <w:p>
      <w:pPr>
        <w:pStyle w:val="9"/>
        <w:spacing w:before="72" w:line="600" w:lineRule="exact"/>
        <w:ind w:firstLine="675"/>
        <w:outlineLvl w:val="2"/>
        <w:rPr>
          <w:rFonts w:ascii="仿宋_GB2312" w:eastAsia="仿宋_GB2312" w:cs="仿宋_GB2312"/>
          <w:bCs/>
          <w:spacing w:val="15"/>
          <w:sz w:val="32"/>
          <w:szCs w:val="32"/>
          <w:shd w:val="clear" w:color="auto" w:fill="FFFFFF"/>
        </w:rPr>
      </w:pPr>
      <w:r>
        <w:rPr>
          <w:rFonts w:hint="eastAsia" w:ascii="仿宋_GB2312" w:eastAsia="仿宋_GB2312" w:cs="仿宋_GB2312"/>
          <w:bCs/>
          <w:spacing w:val="15"/>
          <w:sz w:val="32"/>
          <w:szCs w:val="32"/>
          <w:shd w:val="clear" w:color="auto" w:fill="FFFFFF"/>
        </w:rPr>
        <w:t>11.承办市政府交办的其他事项。</w:t>
      </w:r>
      <w:r>
        <w:rPr>
          <w:rFonts w:ascii="仿宋_GB2312" w:eastAsia="仿宋_GB2312" w:cs="仿宋_GB2312"/>
          <w:bCs/>
          <w:spacing w:val="15"/>
          <w:sz w:val="32"/>
          <w:szCs w:val="32"/>
          <w:shd w:val="clear" w:color="auto" w:fill="FFFFFF"/>
        </w:rPr>
        <w:t> </w:t>
      </w:r>
      <w:r>
        <w:rPr>
          <w:rFonts w:hint="eastAsia" w:ascii="仿宋_GB2312" w:eastAsia="仿宋_GB2312" w:cs="仿宋_GB2312"/>
          <w:bCs/>
          <w:spacing w:val="15"/>
          <w:sz w:val="32"/>
          <w:szCs w:val="32"/>
          <w:shd w:val="clear" w:color="auto" w:fill="FFFFFF"/>
        </w:rPr>
        <w:t xml:space="preserve"> </w:t>
      </w:r>
    </w:p>
    <w:p>
      <w:pPr>
        <w:pStyle w:val="9"/>
        <w:adjustRightInd w:val="0"/>
        <w:snapToGrid w:val="0"/>
        <w:spacing w:before="72" w:line="600" w:lineRule="exact"/>
        <w:ind w:firstLine="675" w:firstLineChars="210"/>
        <w:outlineLvl w:val="2"/>
        <w:rPr>
          <w:rFonts w:ascii="楷体_GB2312" w:hAnsi="仿宋" w:eastAsia="楷体_GB2312" w:cs="仿宋"/>
          <w:b/>
          <w:color w:val="000000"/>
          <w:sz w:val="32"/>
          <w:szCs w:val="32"/>
        </w:rPr>
      </w:pPr>
      <w:r>
        <w:rPr>
          <w:rFonts w:hint="eastAsia" w:ascii="楷体_GB2312" w:hAnsi="仿宋" w:eastAsia="楷体_GB2312"/>
          <w:b/>
          <w:bCs/>
          <w:color w:val="000000"/>
          <w:sz w:val="32"/>
          <w:szCs w:val="32"/>
        </w:rPr>
        <w:t>（二）2020年重点工作完成情况</w:t>
      </w:r>
    </w:p>
    <w:p>
      <w:pPr>
        <w:snapToGrid w:val="0"/>
        <w:spacing w:line="600" w:lineRule="exact"/>
        <w:ind w:firstLine="640"/>
        <w:rPr>
          <w:rFonts w:ascii="Times New Roman" w:hAnsi="Times New Roman" w:eastAsia="仿宋_GB2312"/>
          <w:sz w:val="32"/>
          <w:szCs w:val="32"/>
        </w:rPr>
      </w:pPr>
      <w:r>
        <w:rPr>
          <w:rFonts w:ascii="Times New Roman" w:hAnsi="Times New Roman" w:eastAsia="仿宋_GB2312"/>
          <w:sz w:val="32"/>
          <w:szCs w:val="32"/>
        </w:rPr>
        <w:t>2020年以来，</w:t>
      </w:r>
      <w:r>
        <w:rPr>
          <w:rFonts w:hint="eastAsia" w:ascii="Times New Roman" w:hAnsi="Times New Roman" w:eastAsia="仿宋_GB2312"/>
          <w:sz w:val="32"/>
          <w:szCs w:val="32"/>
        </w:rPr>
        <w:t>市城管执法局党委</w:t>
      </w:r>
      <w:r>
        <w:rPr>
          <w:rFonts w:ascii="Times New Roman" w:hAnsi="Times New Roman" w:eastAsia="仿宋_GB2312"/>
          <w:sz w:val="32"/>
          <w:szCs w:val="32"/>
        </w:rPr>
        <w:t>认真贯彻落实中省市决策部署，</w:t>
      </w:r>
      <w:r>
        <w:rPr>
          <w:rFonts w:hint="eastAsia" w:ascii="Times New Roman" w:hAnsi="Times New Roman" w:eastAsia="仿宋_GB2312"/>
          <w:sz w:val="32"/>
          <w:szCs w:val="32"/>
        </w:rPr>
        <w:t>坚持以人民为中心的管理服务理念，</w:t>
      </w:r>
      <w:r>
        <w:rPr>
          <w:rFonts w:ascii="Times New Roman" w:hAnsi="Times New Roman" w:eastAsia="仿宋_GB2312"/>
          <w:sz w:val="32"/>
          <w:szCs w:val="32"/>
        </w:rPr>
        <w:t>统筹推进疫情防控和经济社会发展等各项工作，取得积极成效。</w:t>
      </w:r>
    </w:p>
    <w:p>
      <w:pPr>
        <w:snapToGrid w:val="0"/>
        <w:spacing w:line="600" w:lineRule="exact"/>
        <w:ind w:firstLine="640"/>
        <w:rPr>
          <w:rFonts w:ascii="Times New Roman" w:hAnsi="Times New Roman" w:eastAsia="仿宋_GB2312"/>
          <w:sz w:val="32"/>
          <w:szCs w:val="32"/>
        </w:rPr>
      </w:pPr>
      <w:r>
        <w:rPr>
          <w:rFonts w:hint="eastAsia" w:ascii="Times New Roman" w:hAnsi="Times New Roman" w:eastAsia="楷体_GB2312"/>
          <w:b/>
          <w:bCs/>
          <w:sz w:val="32"/>
          <w:szCs w:val="32"/>
        </w:rPr>
        <w:t>1.坚持服务中心大局，狠抓重点工作贯彻落实。</w:t>
      </w:r>
      <w:r>
        <w:rPr>
          <w:rFonts w:ascii="黑体" w:hAnsi="黑体" w:eastAsia="黑体" w:cs="黑体"/>
          <w:b/>
          <w:bCs/>
          <w:sz w:val="32"/>
          <w:szCs w:val="32"/>
        </w:rPr>
        <w:t>一是</w:t>
      </w:r>
      <w:r>
        <w:rPr>
          <w:rFonts w:ascii="Times New Roman" w:hAnsi="Times New Roman" w:eastAsia="仿宋_GB2312"/>
          <w:sz w:val="32"/>
          <w:szCs w:val="32"/>
        </w:rPr>
        <w:t>扎实推进生活垃圾分类。出台《德阳市生活垃圾分类工作激励机制》《示范城市验收标准》《收集设施建设技术导则》，大件垃圾处置中心和园林绿化垃圾处理厂正式投用，德阳市餐厨垃圾处理项目成功带料试运行，在全市推进党员干部生活垃圾分类“三个一”行动。截止2020年9月底，全市生活垃圾分类知晓率达100%，所有学校已将生活垃圾分类纳入教育体系，所有公共机构全部已开展生活垃圾分类。生活垃圾回收利用率达</w:t>
      </w:r>
      <w:r>
        <w:rPr>
          <w:rFonts w:hint="eastAsia" w:ascii="Times New Roman" w:hAnsi="Times New Roman" w:eastAsia="仿宋_GB2312"/>
          <w:sz w:val="32"/>
          <w:szCs w:val="32"/>
        </w:rPr>
        <w:t>34</w:t>
      </w:r>
      <w:r>
        <w:rPr>
          <w:rFonts w:ascii="Times New Roman" w:hAnsi="Times New Roman" w:eastAsia="仿宋_GB2312"/>
          <w:sz w:val="32"/>
          <w:szCs w:val="32"/>
        </w:rPr>
        <w:t>%，年底能够达到35%以上，分类系统已初步建成，能够如期建成全国生活垃圾分类示范城市。2020年8月24—25日，住建部调研组实地调研检查时，对我市工作给予充分肯定。10月17日，我局在住建部、中国环协垃圾分类专委会举办的全国2020年垃圾分类工作会上就大件垃圾、园林绿化垃圾处置工作进行经验发言。</w:t>
      </w:r>
      <w:r>
        <w:rPr>
          <w:rFonts w:ascii="黑体" w:hAnsi="黑体" w:eastAsia="黑体" w:cs="黑体"/>
          <w:b/>
          <w:bCs/>
          <w:sz w:val="32"/>
          <w:szCs w:val="32"/>
        </w:rPr>
        <w:t>二是</w:t>
      </w:r>
      <w:r>
        <w:rPr>
          <w:rFonts w:ascii="Times New Roman" w:hAnsi="Times New Roman" w:eastAsia="仿宋_GB2312"/>
          <w:sz w:val="32"/>
          <w:szCs w:val="32"/>
        </w:rPr>
        <w:t>扎实推进“厕所革命”。完成《德阳市公厕专项规划（2018—2025）》编制，全力克服新冠疫情的不利影响，截止9月底，完成新（改）建公厕</w:t>
      </w:r>
      <w:r>
        <w:rPr>
          <w:rFonts w:hint="eastAsia" w:ascii="Times New Roman" w:hAnsi="Times New Roman" w:eastAsia="仿宋_GB2312"/>
          <w:sz w:val="32"/>
          <w:szCs w:val="32"/>
        </w:rPr>
        <w:t>395</w:t>
      </w:r>
      <w:r>
        <w:rPr>
          <w:rFonts w:ascii="Times New Roman" w:hAnsi="Times New Roman" w:eastAsia="仿宋_GB2312"/>
          <w:sz w:val="32"/>
          <w:szCs w:val="32"/>
        </w:rPr>
        <w:t>座、改造农村户厕</w:t>
      </w:r>
      <w:r>
        <w:rPr>
          <w:rFonts w:hint="eastAsia" w:ascii="Times New Roman" w:hAnsi="Times New Roman" w:eastAsia="仿宋_GB2312"/>
          <w:sz w:val="32"/>
          <w:szCs w:val="32"/>
        </w:rPr>
        <w:t>55214</w:t>
      </w:r>
      <w:r>
        <w:rPr>
          <w:rFonts w:ascii="Times New Roman" w:hAnsi="Times New Roman" w:eastAsia="仿宋_GB2312"/>
          <w:sz w:val="32"/>
          <w:szCs w:val="32"/>
        </w:rPr>
        <w:t>座，</w:t>
      </w:r>
      <w:r>
        <w:rPr>
          <w:rFonts w:hint="eastAsia" w:ascii="Times New Roman" w:hAnsi="Times New Roman" w:eastAsia="仿宋_GB2312"/>
          <w:sz w:val="32"/>
          <w:szCs w:val="32"/>
        </w:rPr>
        <w:t>已</w:t>
      </w:r>
      <w:r>
        <w:rPr>
          <w:rFonts w:ascii="Times New Roman" w:hAnsi="Times New Roman" w:eastAsia="仿宋_GB2312"/>
          <w:sz w:val="32"/>
          <w:szCs w:val="32"/>
        </w:rPr>
        <w:t>超额完成年度任务（新改建公厕</w:t>
      </w:r>
      <w:r>
        <w:rPr>
          <w:rFonts w:hint="eastAsia" w:ascii="Times New Roman" w:hAnsi="Times New Roman" w:eastAsia="仿宋_GB2312"/>
          <w:sz w:val="32"/>
          <w:szCs w:val="32"/>
        </w:rPr>
        <w:t>373</w:t>
      </w:r>
      <w:r>
        <w:rPr>
          <w:rFonts w:ascii="Times New Roman" w:hAnsi="Times New Roman" w:eastAsia="仿宋_GB2312"/>
          <w:sz w:val="32"/>
          <w:szCs w:val="32"/>
        </w:rPr>
        <w:t>座、改造农村户厕22698个）。</w:t>
      </w:r>
      <w:r>
        <w:rPr>
          <w:rFonts w:hint="eastAsia" w:ascii="黑体" w:hAnsi="黑体" w:eastAsia="黑体" w:cs="黑体"/>
          <w:b/>
          <w:bCs/>
          <w:sz w:val="32"/>
          <w:szCs w:val="32"/>
        </w:rPr>
        <w:t>三</w:t>
      </w:r>
      <w:r>
        <w:rPr>
          <w:rFonts w:ascii="黑体" w:hAnsi="黑体" w:eastAsia="黑体" w:cs="黑体"/>
          <w:b/>
          <w:bCs/>
          <w:sz w:val="32"/>
          <w:szCs w:val="32"/>
        </w:rPr>
        <w:t>是</w:t>
      </w:r>
      <w:r>
        <w:rPr>
          <w:rFonts w:ascii="Times New Roman" w:hAnsi="Times New Roman" w:eastAsia="仿宋_GB2312"/>
          <w:sz w:val="32"/>
          <w:szCs w:val="32"/>
        </w:rPr>
        <w:t>扎实抓好全国文明城市创建和国卫复审。切实履行好生活环境整治小组牵头单位职责，精心制定创城工作《实施方案》，设立12个工作专班，逐一细化分解任务，形成了全员动手齐参与、千斤重担一起挑的良好氛围。今年以来，将创城“摘牌”和国卫“保牌”统筹起来，同部署、同开展、同检查，整治卫生死角2666处、处理无主垃圾1000余吨、维修路面7184平米、安装维修护栏8231米。扎实开展生活环境整治实地调度检查，印发通报3期，督促整改问题48个</w:t>
      </w:r>
      <w:r>
        <w:rPr>
          <w:rFonts w:hint="eastAsia" w:ascii="Times New Roman" w:hAnsi="Times New Roman" w:eastAsia="仿宋_GB2312"/>
          <w:sz w:val="32"/>
          <w:szCs w:val="32"/>
        </w:rPr>
        <w:t>，助力德阳以全国第十、省内第一的地级市成绩入选第六届全国文明城市。</w:t>
      </w:r>
      <w:r>
        <w:rPr>
          <w:rFonts w:hint="eastAsia" w:ascii="黑体" w:hAnsi="黑体" w:eastAsia="黑体" w:cs="黑体"/>
          <w:b/>
          <w:bCs/>
          <w:sz w:val="32"/>
          <w:szCs w:val="32"/>
        </w:rPr>
        <w:t>四是</w:t>
      </w:r>
      <w:r>
        <w:rPr>
          <w:rFonts w:hint="eastAsia" w:ascii="Times New Roman" w:hAnsi="Times New Roman" w:eastAsia="仿宋_GB2312"/>
          <w:sz w:val="32"/>
          <w:szCs w:val="32"/>
        </w:rPr>
        <w:t>扎实做好新冠肺炎疫情防控。</w:t>
      </w:r>
      <w:r>
        <w:rPr>
          <w:rFonts w:ascii="Times New Roman" w:hAnsi="Times New Roman" w:eastAsia="仿宋_GB2312"/>
          <w:sz w:val="32"/>
          <w:szCs w:val="32"/>
        </w:rPr>
        <w:t>坚决把人民群众生命安全和身体健康放在第一位</w:t>
      </w:r>
      <w:r>
        <w:rPr>
          <w:rFonts w:hint="eastAsia" w:ascii="Times New Roman" w:hAnsi="Times New Roman" w:eastAsia="仿宋_GB2312"/>
          <w:sz w:val="32"/>
          <w:szCs w:val="32"/>
        </w:rPr>
        <w:t>，加强城市日常清扫保洁、废弃口罩规范处置、重点区域消毒杀菌、公园广场管理。</w:t>
      </w:r>
      <w:r>
        <w:rPr>
          <w:rFonts w:ascii="Times New Roman" w:hAnsi="Times New Roman" w:eastAsia="仿宋_GB2312"/>
          <w:sz w:val="32"/>
          <w:szCs w:val="32"/>
        </w:rPr>
        <w:t>认真贯彻中省市要求，今年3月18日出台《德阳市统筹疫情防控审慎包容监管市容秩序服务经济发展六条措施》，并根据实施情况调整完善，及时出台《德阳市市容秩序三级分区管理办法》《德阳市关于优化城市管理服务引导户外经济有序健康发展的实施意见》《德阳市区临时便民服务点管理规定》，增设16个便民服务点（至36个），发布“一图三书”，引导户外经济有序健康发展，助力全市服务业GDP迅速止滑回升，有力刺激城市消费。</w:t>
      </w:r>
      <w:r>
        <w:rPr>
          <w:rFonts w:hint="eastAsia" w:ascii="Times New Roman" w:hAnsi="Times New Roman" w:eastAsia="仿宋_GB2312"/>
          <w:sz w:val="32"/>
          <w:szCs w:val="32"/>
        </w:rPr>
        <w:t>市环卫处</w:t>
      </w:r>
      <w:r>
        <w:rPr>
          <w:rFonts w:hint="eastAsia" w:ascii="仿宋_GB2312" w:hAnsi="仿宋_GB2312" w:eastAsia="仿宋_GB2312" w:cs="仿宋_GB2312"/>
          <w:sz w:val="32"/>
          <w:szCs w:val="32"/>
        </w:rPr>
        <w:t>荣获四川省抗击新冠肺炎疫情先进集体。</w:t>
      </w:r>
      <w:r>
        <w:rPr>
          <w:rFonts w:ascii="Times New Roman" w:hAnsi="Times New Roman" w:eastAsia="仿宋_GB2312"/>
          <w:sz w:val="32"/>
          <w:szCs w:val="32"/>
        </w:rPr>
        <w:t>同时，扫黑除恶扎实推进，始终站在事关社会大局稳定和长治久安的高度来抓专项斗争，截止目前全市城管领域共排查收集线索122条，实现“清仓见底”，“治乱”成效明显</w:t>
      </w:r>
      <w:r>
        <w:rPr>
          <w:rFonts w:hint="eastAsia" w:ascii="Times New Roman" w:hAnsi="Times New Roman" w:eastAsia="仿宋_GB2312"/>
          <w:sz w:val="32"/>
          <w:szCs w:val="32"/>
        </w:rPr>
        <w:t>；</w:t>
      </w:r>
      <w:r>
        <w:rPr>
          <w:rFonts w:ascii="Times New Roman" w:hAnsi="Times New Roman" w:eastAsia="仿宋_GB2312"/>
          <w:sz w:val="32"/>
          <w:szCs w:val="32"/>
        </w:rPr>
        <w:t>服务脱贫攻坚更加精准，扎实开展“挂牌督导”，创新开设爱心扶贫集市，以购助扶、捐物折资金额达140余万元</w:t>
      </w:r>
      <w:r>
        <w:rPr>
          <w:rFonts w:hint="eastAsia" w:ascii="Times New Roman" w:hAnsi="Times New Roman" w:eastAsia="仿宋_GB2312"/>
          <w:sz w:val="32"/>
          <w:szCs w:val="32"/>
        </w:rPr>
        <w:t>，</w:t>
      </w:r>
      <w:r>
        <w:rPr>
          <w:rFonts w:ascii="Times New Roman" w:hAnsi="Times New Roman" w:eastAsia="仿宋_GB2312"/>
          <w:sz w:val="32"/>
          <w:szCs w:val="32"/>
        </w:rPr>
        <w:t>获全市“2020年脱贫攻坚组织创新奖先进集体”。</w:t>
      </w:r>
      <w:r>
        <w:rPr>
          <w:rFonts w:hint="eastAsia" w:ascii="黑体" w:hAnsi="黑体" w:eastAsia="黑体" w:cs="黑体"/>
          <w:b/>
          <w:bCs/>
          <w:sz w:val="32"/>
          <w:szCs w:val="32"/>
        </w:rPr>
        <w:t>五是</w:t>
      </w:r>
      <w:r>
        <w:rPr>
          <w:rFonts w:hint="eastAsia" w:ascii="Times New Roman" w:hAnsi="Times New Roman" w:eastAsia="仿宋_GB2312"/>
          <w:sz w:val="32"/>
          <w:szCs w:val="32"/>
        </w:rPr>
        <w:t>扎实抓好</w:t>
      </w:r>
      <w:r>
        <w:rPr>
          <w:rFonts w:ascii="Times New Roman" w:hAnsi="Times New Roman" w:eastAsia="仿宋_GB2312"/>
          <w:sz w:val="32"/>
          <w:szCs w:val="32"/>
        </w:rPr>
        <w:t>大气污染防治。狠抓环保督察整改落实，目前，我局牵头的4项央督反馈意见、3项央督“回头看”反馈意见、1项沱江流域专项督察反馈意见、1项省级专项督察反馈意见已全面完成整改。狠抓环保项目建设，</w:t>
      </w:r>
      <w:r>
        <w:rPr>
          <w:rFonts w:hint="eastAsia" w:ascii="Times New Roman" w:hAnsi="Times New Roman" w:eastAsia="仿宋_GB2312"/>
          <w:sz w:val="32"/>
          <w:szCs w:val="32"/>
        </w:rPr>
        <w:t>在</w:t>
      </w:r>
      <w:r>
        <w:rPr>
          <w:rFonts w:ascii="Times New Roman" w:hAnsi="Times New Roman" w:eastAsia="仿宋_GB2312"/>
          <w:sz w:val="32"/>
          <w:szCs w:val="32"/>
        </w:rPr>
        <w:t>城乡垃圾处理设施建设三年推进方案圆满收官</w:t>
      </w:r>
      <w:r>
        <w:rPr>
          <w:rFonts w:hint="eastAsia" w:ascii="Times New Roman" w:hAnsi="Times New Roman" w:eastAsia="仿宋_GB2312"/>
          <w:sz w:val="32"/>
          <w:szCs w:val="32"/>
        </w:rPr>
        <w:t>的基础上</w:t>
      </w:r>
      <w:r>
        <w:rPr>
          <w:rFonts w:ascii="Times New Roman" w:hAnsi="Times New Roman" w:eastAsia="仿宋_GB2312"/>
          <w:sz w:val="32"/>
          <w:szCs w:val="32"/>
        </w:rPr>
        <w:t>，扎实做好新一轮垃圾处理设施三年推进工作，计划建设5类项目共计17个，计划投资约6.6亿元，待省政府批准后及时启动实施；德阳市生活垃圾焚烧发电项目运行</w:t>
      </w:r>
      <w:r>
        <w:rPr>
          <w:rFonts w:hint="eastAsia" w:ascii="Times New Roman" w:hAnsi="Times New Roman" w:eastAsia="仿宋_GB2312"/>
          <w:sz w:val="32"/>
          <w:szCs w:val="32"/>
        </w:rPr>
        <w:t>正常</w:t>
      </w:r>
      <w:r>
        <w:rPr>
          <w:rFonts w:ascii="Times New Roman" w:hAnsi="Times New Roman" w:eastAsia="仿宋_GB2312"/>
          <w:sz w:val="32"/>
          <w:szCs w:val="32"/>
        </w:rPr>
        <w:t>，日接收、处理垃圾1000余吨，日发电量50万度；德阳市餐厨垃圾处理项目已带料试运行</w:t>
      </w:r>
      <w:r>
        <w:rPr>
          <w:rFonts w:hint="eastAsia" w:ascii="Times New Roman" w:hAnsi="Times New Roman" w:eastAsia="仿宋_GB2312"/>
          <w:sz w:val="32"/>
          <w:szCs w:val="32"/>
        </w:rPr>
        <w:t>；</w:t>
      </w:r>
      <w:r>
        <w:rPr>
          <w:rFonts w:ascii="Times New Roman" w:hAnsi="Times New Roman" w:eastAsia="仿宋_GB2312"/>
          <w:color w:val="000000"/>
          <w:kern w:val="0"/>
          <w:sz w:val="32"/>
          <w:szCs w:val="32"/>
        </w:rPr>
        <w:t>日处理规模100吨的厨余垃圾处理项目前期工作加快推进</w:t>
      </w:r>
      <w:r>
        <w:rPr>
          <w:rFonts w:hint="eastAsia" w:ascii="Times New Roman" w:hAnsi="Times New Roman" w:eastAsia="仿宋_GB2312"/>
          <w:color w:val="000000"/>
          <w:kern w:val="0"/>
          <w:sz w:val="32"/>
          <w:szCs w:val="32"/>
        </w:rPr>
        <w:t>。</w:t>
      </w:r>
      <w:r>
        <w:rPr>
          <w:rFonts w:ascii="Times New Roman" w:hAnsi="Times New Roman" w:eastAsia="仿宋_GB2312"/>
          <w:sz w:val="32"/>
          <w:szCs w:val="32"/>
        </w:rPr>
        <w:t>同时，认真履行绵远河市级河长联络员单位职责，扎实开展巡河督导、涉河涉水违法行为打击等工作，在市总河长办对市级河长联络员单位的考核中连续3年排位第一。狠抓执法监管，印发《德阳市城市扬尘油烟和垃圾落叶露天焚烧整治专项行动实施方案》，扎实开展大气污染防治攻坚“10+1”专项行动；制定《西小区大气污染防治重点区域建设方案》，建立污染源动态管理台账，加强工作调度，常态开展问题研判；认真落实《德阳市2020年度污染防治攻坚战强化联合执法检查专项方案》，扎实抓好建筑行业组、服务行业组执法检查工作。今年以来，共出动执法人员2400余人（次），车辆880余车（次），设卡120余（次），检查运渣车辆1870余台（次），立案查处道路扬尘污染案件23件，罚款1.7万元；立案查处工地施工扬尘污染案件9件，罚款6万元。我局在全市2019年度生态环境保护党政同责工作目标绩效考评中，被评为年度考核成绩突出部门。</w:t>
      </w:r>
    </w:p>
    <w:p>
      <w:pPr>
        <w:snapToGrid w:val="0"/>
        <w:spacing w:line="600" w:lineRule="exact"/>
        <w:ind w:firstLine="640"/>
        <w:rPr>
          <w:rFonts w:ascii="Times New Roman" w:hAnsi="Times New Roman" w:eastAsia="仿宋_GB2312"/>
          <w:sz w:val="32"/>
          <w:szCs w:val="32"/>
        </w:rPr>
      </w:pPr>
      <w:r>
        <w:rPr>
          <w:rFonts w:hint="eastAsia" w:ascii="Times New Roman" w:hAnsi="Times New Roman" w:eastAsia="楷体_GB2312"/>
          <w:b/>
          <w:bCs/>
          <w:sz w:val="32"/>
          <w:szCs w:val="32"/>
        </w:rPr>
        <w:t>2.用心为人民管城市，有效提升管理服务水平。</w:t>
      </w:r>
      <w:r>
        <w:rPr>
          <w:rFonts w:hint="eastAsia" w:ascii="黑体" w:hAnsi="黑体" w:eastAsia="黑体" w:cs="黑体"/>
          <w:b/>
          <w:bCs/>
          <w:sz w:val="32"/>
          <w:szCs w:val="32"/>
        </w:rPr>
        <w:t>一是</w:t>
      </w:r>
      <w:r>
        <w:rPr>
          <w:rFonts w:hint="eastAsia" w:ascii="Times New Roman" w:hAnsi="Times New Roman" w:eastAsia="仿宋_GB2312"/>
          <w:sz w:val="32"/>
          <w:szCs w:val="32"/>
        </w:rPr>
        <w:t>日常维护管理精致精细。</w:t>
      </w:r>
      <w:r>
        <w:rPr>
          <w:rFonts w:ascii="Times New Roman" w:hAnsi="Times New Roman" w:eastAsia="仿宋_GB2312"/>
          <w:sz w:val="32"/>
          <w:szCs w:val="32"/>
        </w:rPr>
        <w:t>高质量做好市区770余万平方米街道、2000余个果皮箱、130余万平方米草坪和旌湖保洁等日常管护工作，市政设施完好率、照明综合亮灯率99%以上，机械化清扫率提升到90.3%。顺利完成数字城管升级智慧城管项目。大力推进“园林细胞”创建，共建成省市园林式单位86家，成功通过国家园林城市复审</w:t>
      </w:r>
      <w:r>
        <w:rPr>
          <w:rFonts w:hint="eastAsia" w:ascii="Times New Roman" w:hAnsi="Times New Roman" w:eastAsia="仿宋_GB2312"/>
          <w:sz w:val="32"/>
          <w:szCs w:val="32"/>
        </w:rPr>
        <w:t>。不断织密制度机制，</w:t>
      </w:r>
      <w:r>
        <w:rPr>
          <w:rFonts w:hint="eastAsia" w:ascii="仿宋_GB2312" w:eastAsia="仿宋_GB2312"/>
          <w:sz w:val="32"/>
          <w:szCs w:val="32"/>
        </w:rPr>
        <w:t>进一步加强城市市容卫生管理、维护公共秩序、提升城市形象，</w:t>
      </w:r>
      <w:r>
        <w:rPr>
          <w:rFonts w:hint="eastAsia" w:ascii="Times New Roman" w:hAnsi="Times New Roman" w:eastAsia="仿宋_GB2312"/>
          <w:sz w:val="32"/>
          <w:szCs w:val="32"/>
        </w:rPr>
        <w:t>出台</w:t>
      </w:r>
      <w:r>
        <w:rPr>
          <w:rFonts w:ascii="Times New Roman" w:hAnsi="Times New Roman" w:eastAsia="仿宋_GB2312"/>
          <w:sz w:val="32"/>
          <w:szCs w:val="32"/>
        </w:rPr>
        <w:t>《德阳市城市基础设施建设项目移交管理办法》</w:t>
      </w:r>
      <w:r>
        <w:rPr>
          <w:rFonts w:hint="eastAsia" w:ascii="Times New Roman" w:hAnsi="Times New Roman" w:eastAsia="仿宋_GB2312"/>
          <w:sz w:val="32"/>
          <w:szCs w:val="32"/>
        </w:rPr>
        <w:t>，</w:t>
      </w:r>
      <w:r>
        <w:rPr>
          <w:rFonts w:ascii="Times New Roman" w:hAnsi="Times New Roman" w:eastAsia="仿宋_GB2312"/>
          <w:sz w:val="32"/>
          <w:szCs w:val="32"/>
        </w:rPr>
        <w:t>保障城市基础设施移交工作顺利开展</w:t>
      </w:r>
      <w:r>
        <w:rPr>
          <w:rFonts w:hint="eastAsia" w:ascii="Times New Roman" w:hAnsi="Times New Roman" w:eastAsia="仿宋_GB2312"/>
          <w:sz w:val="32"/>
          <w:szCs w:val="32"/>
        </w:rPr>
        <w:t>，起草的《德阳</w:t>
      </w:r>
      <w:r>
        <w:rPr>
          <w:rFonts w:hint="eastAsia" w:ascii="仿宋_GB2312" w:eastAsia="仿宋_GB2312"/>
          <w:sz w:val="32"/>
          <w:szCs w:val="32"/>
        </w:rPr>
        <w:t>市“门前五包”责任制管理办法》已报请市政府审议。完成国有公共停车场（泊位）特许经营权出让（经营期20年），实现财政</w:t>
      </w:r>
      <w:r>
        <w:rPr>
          <w:rFonts w:hint="eastAsia" w:ascii="Times New Roman" w:hAnsi="Times New Roman" w:eastAsia="仿宋_GB2312"/>
          <w:sz w:val="32"/>
          <w:szCs w:val="32"/>
        </w:rPr>
        <w:t>收入5.072669亿元</w:t>
      </w:r>
      <w:r>
        <w:rPr>
          <w:rFonts w:hint="eastAsia" w:ascii="仿宋_GB2312" w:eastAsia="仿宋_GB2312"/>
          <w:sz w:val="32"/>
          <w:szCs w:val="32"/>
        </w:rPr>
        <w:t>。</w:t>
      </w:r>
      <w:r>
        <w:rPr>
          <w:rFonts w:hint="eastAsia" w:ascii="黑体" w:hAnsi="黑体" w:eastAsia="黑体" w:cs="黑体"/>
          <w:b/>
          <w:bCs/>
          <w:sz w:val="32"/>
          <w:szCs w:val="32"/>
        </w:rPr>
        <w:t>二</w:t>
      </w:r>
      <w:r>
        <w:rPr>
          <w:rFonts w:ascii="黑体" w:hAnsi="黑体" w:eastAsia="黑体" w:cs="黑体"/>
          <w:b/>
          <w:bCs/>
          <w:sz w:val="32"/>
          <w:szCs w:val="32"/>
        </w:rPr>
        <w:t>是</w:t>
      </w:r>
      <w:r>
        <w:rPr>
          <w:rFonts w:ascii="Times New Roman" w:hAnsi="Times New Roman" w:eastAsia="仿宋_GB2312"/>
          <w:sz w:val="32"/>
          <w:szCs w:val="32"/>
        </w:rPr>
        <w:t>城乡环境综合治理</w:t>
      </w:r>
      <w:r>
        <w:rPr>
          <w:rFonts w:hint="eastAsia" w:ascii="Times New Roman" w:hAnsi="Times New Roman" w:eastAsia="仿宋_GB2312"/>
          <w:sz w:val="32"/>
          <w:szCs w:val="32"/>
        </w:rPr>
        <w:t>扎实有效</w:t>
      </w:r>
      <w:r>
        <w:rPr>
          <w:rFonts w:ascii="Times New Roman" w:hAnsi="Times New Roman" w:eastAsia="仿宋_GB2312"/>
          <w:sz w:val="32"/>
          <w:szCs w:val="32"/>
        </w:rPr>
        <w:t>。2020年6月联合市农业农村局等5家单位印发《德阳市推进农村生活垃圾治理实施方案》</w:t>
      </w:r>
      <w:r>
        <w:rPr>
          <w:rFonts w:hint="eastAsia" w:ascii="Times New Roman" w:hAnsi="Times New Roman" w:eastAsia="仿宋_GB2312"/>
          <w:sz w:val="32"/>
          <w:szCs w:val="32"/>
        </w:rPr>
        <w:t>，构建</w:t>
      </w:r>
      <w:r>
        <w:rPr>
          <w:rFonts w:ascii="Times New Roman" w:hAnsi="Times New Roman" w:eastAsia="仿宋_GB2312"/>
          <w:sz w:val="32"/>
          <w:szCs w:val="32"/>
        </w:rPr>
        <w:t>符合我市农村特色的生活垃圾分类方式和收转运处体系。目前，非正规垃圾堆放点整治任务全面完成并通过验收，全市行政村配置保洁员覆盖率达到100%，95%以上的行政村农村生活垃圾得到有效治理，农村垃圾处理长效机制不断健全</w:t>
      </w:r>
      <w:r>
        <w:rPr>
          <w:rFonts w:hint="eastAsia" w:ascii="Times New Roman" w:hAnsi="Times New Roman" w:eastAsia="仿宋_GB2312"/>
          <w:sz w:val="32"/>
          <w:szCs w:val="32"/>
        </w:rPr>
        <w:t>；制定实施</w:t>
      </w:r>
      <w:r>
        <w:rPr>
          <w:rFonts w:ascii="Times New Roman" w:hAnsi="Times New Roman" w:eastAsia="仿宋_GB2312"/>
          <w:sz w:val="32"/>
          <w:szCs w:val="32"/>
        </w:rPr>
        <w:t>《德阳市高铁沿线环境安全治理工作方案》，先后召开全市工作动员会、推进会，建立健全“双段长”长效机制，排查高铁沿线隐患问题286处，提前完成整治、销号，受到省治理办通报表扬</w:t>
      </w:r>
      <w:r>
        <w:rPr>
          <w:rFonts w:hint="eastAsia" w:ascii="Times New Roman" w:hAnsi="Times New Roman" w:eastAsia="仿宋_GB2312"/>
          <w:sz w:val="32"/>
          <w:szCs w:val="32"/>
        </w:rPr>
        <w:t>；</w:t>
      </w:r>
      <w:r>
        <w:rPr>
          <w:rFonts w:ascii="Times New Roman" w:hAnsi="Times New Roman" w:eastAsia="仿宋_GB2312"/>
          <w:sz w:val="32"/>
          <w:szCs w:val="32"/>
        </w:rPr>
        <w:t>今年6月印发《市容环境大治理活动实施方案》，集中开展市容环境“大扫除、大整治、大美化、大亮化”行动，高标准完成成绵高速城区收费站周边及市区重要节点景观改造等工作，为全省推动制造业高质量发展现场会圆满举办营造了良好的市容环境，受到靳磊书记和</w:t>
      </w:r>
      <w:r>
        <w:rPr>
          <w:rFonts w:hint="eastAsia" w:ascii="Times New Roman" w:hAnsi="Times New Roman" w:eastAsia="仿宋_GB2312"/>
          <w:sz w:val="32"/>
          <w:szCs w:val="32"/>
        </w:rPr>
        <w:t>袁华兵副</w:t>
      </w:r>
      <w:r>
        <w:rPr>
          <w:rFonts w:ascii="Times New Roman" w:hAnsi="Times New Roman" w:eastAsia="仿宋_GB2312"/>
          <w:sz w:val="32"/>
          <w:szCs w:val="32"/>
        </w:rPr>
        <w:t>市长肯定性批示。</w:t>
      </w:r>
      <w:r>
        <w:rPr>
          <w:rFonts w:hint="eastAsia" w:ascii="黑体" w:hAnsi="黑体" w:eastAsia="黑体" w:cs="黑体"/>
          <w:b/>
          <w:bCs/>
          <w:sz w:val="32"/>
          <w:szCs w:val="32"/>
        </w:rPr>
        <w:t>三是</w:t>
      </w:r>
      <w:r>
        <w:rPr>
          <w:rFonts w:ascii="Times New Roman" w:hAnsi="Times New Roman" w:eastAsia="仿宋_GB2312"/>
          <w:sz w:val="32"/>
          <w:szCs w:val="32"/>
        </w:rPr>
        <w:t>扎实做好</w:t>
      </w:r>
      <w:r>
        <w:rPr>
          <w:rFonts w:hint="eastAsia" w:ascii="Times New Roman" w:hAnsi="Times New Roman" w:eastAsia="仿宋_GB2312"/>
          <w:sz w:val="32"/>
          <w:szCs w:val="32"/>
        </w:rPr>
        <w:t>防汛排涝。认真开展</w:t>
      </w:r>
      <w:r>
        <w:rPr>
          <w:rFonts w:ascii="Times New Roman" w:hAnsi="Times New Roman" w:eastAsia="仿宋_GB2312"/>
          <w:sz w:val="32"/>
          <w:szCs w:val="32"/>
        </w:rPr>
        <w:t>隐患排查、监测预警、值班值守、应急演练等各项工作，坚持将“雨前排查、雨中巡查、雨后核查”机制贯穿始终，有效应对2020年8月中旬两轮特大暴雨车轮战袭击，</w:t>
      </w:r>
      <w:r>
        <w:rPr>
          <w:rFonts w:hint="eastAsia" w:ascii="Times New Roman" w:hAnsi="Times New Roman" w:eastAsia="仿宋_GB2312"/>
          <w:sz w:val="32"/>
          <w:szCs w:val="32"/>
        </w:rPr>
        <w:t>保障</w:t>
      </w:r>
      <w:r>
        <w:rPr>
          <w:rFonts w:ascii="Times New Roman" w:hAnsi="Times New Roman" w:eastAsia="仿宋_GB2312"/>
          <w:sz w:val="32"/>
          <w:szCs w:val="32"/>
        </w:rPr>
        <w:t>了德阳主城区易涝未涝、安全度汛，受到靳磊书记、何礼市长</w:t>
      </w:r>
      <w:r>
        <w:rPr>
          <w:rFonts w:hint="eastAsia" w:ascii="Times New Roman" w:hAnsi="Times New Roman" w:eastAsia="仿宋_GB2312"/>
          <w:sz w:val="32"/>
          <w:szCs w:val="32"/>
        </w:rPr>
        <w:t>、袁华兵副市长</w:t>
      </w:r>
      <w:r>
        <w:rPr>
          <w:rFonts w:ascii="Times New Roman" w:hAnsi="Times New Roman" w:eastAsia="仿宋_GB2312"/>
          <w:sz w:val="32"/>
          <w:szCs w:val="32"/>
        </w:rPr>
        <w:t>等市领导肯定表扬。</w:t>
      </w:r>
    </w:p>
    <w:p>
      <w:pPr>
        <w:spacing w:line="600" w:lineRule="exact"/>
        <w:ind w:firstLine="643" w:firstLineChars="200"/>
        <w:rPr>
          <w:rFonts w:ascii="Times New Roman" w:hAnsi="Times New Roman" w:eastAsia="仿宋_GB2312"/>
          <w:sz w:val="32"/>
          <w:szCs w:val="32"/>
        </w:rPr>
      </w:pPr>
      <w:r>
        <w:rPr>
          <w:rFonts w:hint="eastAsia" w:ascii="Times New Roman" w:hAnsi="Times New Roman" w:eastAsia="楷体_GB2312"/>
          <w:b/>
          <w:bCs/>
          <w:sz w:val="32"/>
          <w:szCs w:val="32"/>
        </w:rPr>
        <w:t>3.着力打造法治城管，持续深入推进依法行政。</w:t>
      </w:r>
      <w:r>
        <w:rPr>
          <w:rFonts w:hint="eastAsia" w:ascii="黑体" w:hAnsi="黑体" w:eastAsia="黑体" w:cs="黑体"/>
          <w:b/>
          <w:bCs/>
          <w:sz w:val="32"/>
          <w:szCs w:val="32"/>
        </w:rPr>
        <w:t>一是</w:t>
      </w:r>
      <w:r>
        <w:rPr>
          <w:rFonts w:hint="eastAsia" w:ascii="Times New Roman" w:hAnsi="Times New Roman" w:eastAsia="仿宋_GB2312"/>
          <w:sz w:val="32"/>
          <w:szCs w:val="32"/>
        </w:rPr>
        <w:t>全力服务</w:t>
      </w:r>
      <w:r>
        <w:rPr>
          <w:rFonts w:ascii="Times New Roman" w:hAnsi="Times New Roman" w:eastAsia="仿宋_GB2312"/>
          <w:sz w:val="32"/>
          <w:szCs w:val="32"/>
        </w:rPr>
        <w:t>地方立法。</w:t>
      </w:r>
      <w:r>
        <w:rPr>
          <w:rFonts w:hint="eastAsia" w:ascii="Times New Roman" w:hAnsi="Times New Roman" w:eastAsia="仿宋_GB2312"/>
          <w:sz w:val="32"/>
          <w:szCs w:val="32"/>
        </w:rPr>
        <w:t>牵头起草的</w:t>
      </w:r>
      <w:r>
        <w:rPr>
          <w:rFonts w:ascii="Times New Roman" w:hAnsi="Times New Roman" w:eastAsia="仿宋_GB2312"/>
          <w:sz w:val="32"/>
          <w:szCs w:val="32"/>
        </w:rPr>
        <w:t>《德阳市户外广告和招牌设置管理办法》</w:t>
      </w:r>
      <w:r>
        <w:rPr>
          <w:rFonts w:hint="eastAsia" w:ascii="Times New Roman" w:hAnsi="Times New Roman" w:eastAsia="仿宋_GB2312"/>
          <w:sz w:val="32"/>
          <w:szCs w:val="32"/>
        </w:rPr>
        <w:t>正式颁布实施。</w:t>
      </w:r>
      <w:r>
        <w:rPr>
          <w:rFonts w:ascii="Times New Roman" w:hAnsi="Times New Roman" w:eastAsia="仿宋_GB2312"/>
          <w:sz w:val="32"/>
          <w:szCs w:val="32"/>
        </w:rPr>
        <w:t>《德阳市餐厨垃圾管理办法》（草案初稿）已完成意见征求，</w:t>
      </w:r>
      <w:r>
        <w:rPr>
          <w:rFonts w:hint="eastAsia" w:ascii="Times New Roman" w:hAnsi="Times New Roman" w:eastAsia="仿宋_GB2312"/>
          <w:sz w:val="32"/>
          <w:szCs w:val="32"/>
        </w:rPr>
        <w:t>已</w:t>
      </w:r>
      <w:r>
        <w:rPr>
          <w:rFonts w:ascii="Times New Roman" w:hAnsi="Times New Roman" w:eastAsia="仿宋_GB2312"/>
          <w:sz w:val="32"/>
          <w:szCs w:val="32"/>
        </w:rPr>
        <w:t>召开立法听证会以及餐饮企业、行业协会征求意见座谈会、专家论证会</w:t>
      </w:r>
      <w:r>
        <w:rPr>
          <w:rFonts w:hint="eastAsia" w:ascii="Times New Roman" w:hAnsi="Times New Roman" w:eastAsia="仿宋_GB2312"/>
          <w:sz w:val="32"/>
          <w:szCs w:val="32"/>
        </w:rPr>
        <w:t>，修改完善后已报市司法局审查，年内能够出台。牵头起草的《四川省智慧化城市管理平台建设导则（试行）》于2020年7月14日由住房城乡建设厅印发正式实施。</w:t>
      </w:r>
      <w:r>
        <w:rPr>
          <w:rFonts w:ascii="黑体" w:hAnsi="黑体" w:eastAsia="黑体" w:cs="黑体"/>
          <w:b/>
          <w:bCs/>
          <w:sz w:val="32"/>
          <w:szCs w:val="32"/>
        </w:rPr>
        <w:t>二是</w:t>
      </w:r>
      <w:r>
        <w:rPr>
          <w:rFonts w:hint="eastAsia" w:ascii="Times New Roman" w:hAnsi="Times New Roman" w:eastAsia="仿宋_GB2312"/>
          <w:sz w:val="32"/>
          <w:szCs w:val="32"/>
        </w:rPr>
        <w:t>扎实</w:t>
      </w:r>
      <w:r>
        <w:rPr>
          <w:rFonts w:ascii="Times New Roman" w:hAnsi="Times New Roman" w:eastAsia="仿宋_GB2312"/>
          <w:sz w:val="32"/>
          <w:szCs w:val="32"/>
        </w:rPr>
        <w:t>推进行政执法。全面推行行政执法公示、执法全过程记录、重大执法决定法制审核三项制度，今年以来，公示行政处罚案件27件，行政许可45件；对184个执法证件进行年审，审核案件128件，为执法人员提供咨询服务70余次；评查行政许可案件45件、一般程序的行政处罚案件67件，并对评查中存在的问题进行通报，助推执法办案水平有力提升。</w:t>
      </w:r>
      <w:r>
        <w:rPr>
          <w:rFonts w:ascii="黑体" w:hAnsi="黑体" w:eastAsia="黑体" w:cs="黑体"/>
          <w:b/>
          <w:bCs/>
          <w:sz w:val="32"/>
          <w:szCs w:val="32"/>
        </w:rPr>
        <w:t>三是</w:t>
      </w:r>
      <w:r>
        <w:rPr>
          <w:rFonts w:hint="eastAsia" w:ascii="Times New Roman" w:hAnsi="Times New Roman" w:eastAsia="仿宋_GB2312"/>
          <w:sz w:val="32"/>
          <w:szCs w:val="32"/>
        </w:rPr>
        <w:t>深入开展</w:t>
      </w:r>
      <w:r>
        <w:rPr>
          <w:rFonts w:ascii="Times New Roman" w:hAnsi="Times New Roman" w:eastAsia="仿宋_GB2312"/>
          <w:sz w:val="32"/>
          <w:szCs w:val="32"/>
        </w:rPr>
        <w:t>学法宣法。今年已在局党委中心组学习会、局党委会、局务会开展会前学法14次、举办专题法治讲座4次，</w:t>
      </w:r>
      <w:r>
        <w:rPr>
          <w:rFonts w:hint="eastAsia" w:ascii="Times New Roman" w:hAnsi="Times New Roman" w:eastAsia="仿宋_GB2312"/>
          <w:sz w:val="32"/>
          <w:szCs w:val="32"/>
        </w:rPr>
        <w:t>10月28日—29日，邀请住建部专家王毅教授团队，组织开展执法理论及实务操作专题培训，全市城管系统2</w:t>
      </w:r>
      <w:r>
        <w:rPr>
          <w:rFonts w:ascii="Times New Roman" w:hAnsi="Times New Roman" w:eastAsia="仿宋_GB2312"/>
          <w:sz w:val="32"/>
          <w:szCs w:val="32"/>
        </w:rPr>
        <w:t>20</w:t>
      </w:r>
      <w:r>
        <w:rPr>
          <w:rFonts w:hint="eastAsia" w:ascii="Times New Roman" w:hAnsi="Times New Roman" w:eastAsia="仿宋_GB2312"/>
          <w:sz w:val="32"/>
          <w:szCs w:val="32"/>
        </w:rPr>
        <w:t>余名执法骨干参培，进一步提高城管执法队伍法律意识和依法办案水平</w:t>
      </w:r>
      <w:r>
        <w:rPr>
          <w:rFonts w:ascii="Times New Roman" w:hAnsi="Times New Roman" w:eastAsia="仿宋_GB2312"/>
          <w:sz w:val="32"/>
          <w:szCs w:val="32"/>
        </w:rPr>
        <w:t>。认真落实“谁执法谁普法”责任，打造执法普法“宣传矩阵”，利用“4·15”全民国家安全教育日等重要时间节点，以“法律七进”、脱贫攻坚等为载体</w:t>
      </w:r>
      <w:r>
        <w:rPr>
          <w:rFonts w:hint="eastAsia" w:ascii="Times New Roman" w:hAnsi="Times New Roman" w:eastAsia="仿宋_GB2312"/>
          <w:sz w:val="32"/>
          <w:szCs w:val="32"/>
        </w:rPr>
        <w:t>，</w:t>
      </w:r>
      <w:r>
        <w:rPr>
          <w:rFonts w:ascii="Times New Roman" w:hAnsi="Times New Roman" w:eastAsia="仿宋_GB2312"/>
          <w:sz w:val="32"/>
          <w:szCs w:val="32"/>
        </w:rPr>
        <w:t>深入开展禁违宣传、法治宣传等活动10余次，发放法治宣传折页、单行本600余份，推出案例解读、以案释法等宣传报道500余篇，促进全民尊法守法，共同缔造法治社会。在2020年住房城乡建设厅组织的法律知识竞赛中，我局荣获“单位组织奖”。</w:t>
      </w:r>
    </w:p>
    <w:p>
      <w:pPr>
        <w:spacing w:line="600" w:lineRule="exact"/>
        <w:ind w:firstLine="643" w:firstLineChars="200"/>
        <w:rPr>
          <w:rFonts w:ascii="Times New Roman" w:hAnsi="Times New Roman" w:eastAsia="仿宋_GB2312"/>
          <w:sz w:val="32"/>
          <w:szCs w:val="32"/>
        </w:rPr>
      </w:pPr>
      <w:r>
        <w:rPr>
          <w:rFonts w:hint="eastAsia" w:ascii="Times New Roman" w:hAnsi="Times New Roman" w:eastAsia="楷体_GB2312"/>
          <w:b/>
          <w:bCs/>
          <w:sz w:val="32"/>
          <w:szCs w:val="32"/>
        </w:rPr>
        <w:t>4.不断筑牢党建根基，推动党的领导更深更实。</w:t>
      </w:r>
      <w:r>
        <w:rPr>
          <w:rFonts w:hint="eastAsia" w:ascii="黑体" w:hAnsi="黑体" w:eastAsia="黑体" w:cs="黑体"/>
          <w:b/>
          <w:bCs/>
          <w:sz w:val="32"/>
          <w:szCs w:val="32"/>
        </w:rPr>
        <w:t>一是</w:t>
      </w:r>
      <w:r>
        <w:rPr>
          <w:rFonts w:ascii="Times New Roman" w:hAnsi="Times New Roman" w:eastAsia="仿宋_GB2312"/>
          <w:sz w:val="32"/>
          <w:szCs w:val="32"/>
        </w:rPr>
        <w:t>把政治建设摆在首位。不断筑牢对党绝对忠诚的政治品格，始终在政治立场、政治方向、政治原则、政治道路上同以习近平同志为核心的党中央保持高度一致。今年以来，召开党委理论学习中心组（扩大）学习会议</w:t>
      </w:r>
      <w:r>
        <w:rPr>
          <w:rFonts w:hint="eastAsia" w:ascii="Times New Roman" w:hAnsi="Times New Roman" w:eastAsia="仿宋_GB2312"/>
          <w:sz w:val="32"/>
          <w:szCs w:val="32"/>
        </w:rPr>
        <w:t>7</w:t>
      </w:r>
      <w:r>
        <w:rPr>
          <w:rFonts w:ascii="Times New Roman" w:hAnsi="Times New Roman" w:eastAsia="仿宋_GB2312"/>
          <w:sz w:val="32"/>
          <w:szCs w:val="32"/>
        </w:rPr>
        <w:t>次、党委会议</w:t>
      </w:r>
      <w:r>
        <w:rPr>
          <w:rFonts w:hint="eastAsia" w:ascii="Times New Roman" w:hAnsi="Times New Roman" w:eastAsia="仿宋_GB2312"/>
          <w:sz w:val="32"/>
          <w:szCs w:val="32"/>
        </w:rPr>
        <w:t>27</w:t>
      </w:r>
      <w:r>
        <w:rPr>
          <w:rFonts w:ascii="Times New Roman" w:hAnsi="Times New Roman" w:eastAsia="仿宋_GB2312"/>
          <w:sz w:val="32"/>
          <w:szCs w:val="32"/>
        </w:rPr>
        <w:t>次，第一时间传达学习习近平总书记最新重要讲话精神，认真落实意识形态工作责任制，党员干部队伍“四个意识”更加牢固，“四个自信”更加坚定，“两个维护”更加自觉。</w:t>
      </w:r>
      <w:r>
        <w:rPr>
          <w:rFonts w:ascii="黑体" w:hAnsi="黑体" w:eastAsia="黑体" w:cs="黑体"/>
          <w:b/>
          <w:bCs/>
          <w:sz w:val="32"/>
          <w:szCs w:val="32"/>
        </w:rPr>
        <w:t>二是</w:t>
      </w:r>
      <w:r>
        <w:rPr>
          <w:rFonts w:ascii="Times New Roman" w:hAnsi="Times New Roman" w:eastAsia="仿宋_GB2312"/>
          <w:sz w:val="32"/>
          <w:szCs w:val="32"/>
        </w:rPr>
        <w:t>把纪律规矩挺在前面。坚决肃清周永康流毒影响，扎实开展蒲波、彭宇行、侯晓春严重违纪违法案“以案促改”，全面完成巡视巡察整改，推动规章制度“废改立”27项。紧盯“四风”特别是形式主义官僚主义新形式新表现，制定执行局《党委委员带头改进作风加强自身建设六条规定》《改进作风严肃纪律九条禁令》，打造局廉政文化基地和党建教育基地，常态组织党员干部接受警示和教育熏陶。全力支持驻局纪检监察组工作。始终坚持挺纪在前，今年以来，通报违反纪律规矩问题</w:t>
      </w:r>
      <w:r>
        <w:rPr>
          <w:rFonts w:hint="eastAsia" w:ascii="Times New Roman" w:hAnsi="Times New Roman" w:eastAsia="仿宋_GB2312"/>
          <w:sz w:val="32"/>
          <w:szCs w:val="32"/>
        </w:rPr>
        <w:t>2</w:t>
      </w:r>
      <w:r>
        <w:rPr>
          <w:rFonts w:ascii="Times New Roman" w:hAnsi="Times New Roman" w:eastAsia="仿宋_GB2312"/>
          <w:sz w:val="32"/>
          <w:szCs w:val="32"/>
        </w:rPr>
        <w:t>7人次，办理政纪处分案件</w:t>
      </w:r>
      <w:r>
        <w:rPr>
          <w:rFonts w:hint="eastAsia" w:ascii="Times New Roman" w:hAnsi="Times New Roman" w:eastAsia="仿宋_GB2312"/>
          <w:sz w:val="32"/>
          <w:szCs w:val="32"/>
        </w:rPr>
        <w:t>3</w:t>
      </w:r>
      <w:r>
        <w:rPr>
          <w:rFonts w:ascii="Times New Roman" w:hAnsi="Times New Roman" w:eastAsia="仿宋_GB2312"/>
          <w:sz w:val="32"/>
          <w:szCs w:val="32"/>
        </w:rPr>
        <w:t>件</w:t>
      </w:r>
      <w:r>
        <w:rPr>
          <w:rFonts w:hint="eastAsia" w:ascii="Times New Roman" w:hAnsi="Times New Roman" w:eastAsia="仿宋_GB2312"/>
          <w:sz w:val="32"/>
          <w:szCs w:val="32"/>
        </w:rPr>
        <w:t>、</w:t>
      </w:r>
      <w:r>
        <w:rPr>
          <w:rFonts w:ascii="Times New Roman" w:hAnsi="Times New Roman" w:eastAsia="仿宋_GB2312"/>
          <w:sz w:val="32"/>
          <w:szCs w:val="32"/>
        </w:rPr>
        <w:t>开除</w:t>
      </w:r>
      <w:r>
        <w:rPr>
          <w:rFonts w:hint="eastAsia" w:ascii="Times New Roman" w:hAnsi="Times New Roman" w:eastAsia="仿宋_GB2312"/>
          <w:sz w:val="32"/>
          <w:szCs w:val="32"/>
        </w:rPr>
        <w:t>3</w:t>
      </w:r>
      <w:r>
        <w:rPr>
          <w:rFonts w:ascii="Times New Roman" w:hAnsi="Times New Roman" w:eastAsia="仿宋_GB2312"/>
          <w:sz w:val="32"/>
          <w:szCs w:val="32"/>
        </w:rPr>
        <w:t>人，以严肃问责推动队伍作风和纪律建设持续向好，全面从严治党纵深推进。</w:t>
      </w:r>
      <w:r>
        <w:rPr>
          <w:rFonts w:ascii="黑体" w:hAnsi="黑体" w:eastAsia="黑体" w:cs="黑体"/>
          <w:b/>
          <w:bCs/>
          <w:sz w:val="32"/>
          <w:szCs w:val="32"/>
        </w:rPr>
        <w:t>三是</w:t>
      </w:r>
      <w:r>
        <w:rPr>
          <w:rFonts w:ascii="Times New Roman" w:hAnsi="Times New Roman" w:eastAsia="仿宋_GB2312"/>
          <w:sz w:val="32"/>
          <w:szCs w:val="32"/>
        </w:rPr>
        <w:t>把支部建设抓在经常。鲜明落实到基层、落实靠基层导向，最大限度发挥党支部战斗堡垒作用。制定《基层党建标准化规范化建设工作指南》，建立党组织书记“五个一”履职清单、上网纪实、联评联考等机制，举办机关党建“两化”建设培训，推进党支部“三会一课”、主题党日、发展党员等日常工作标准化规范化。</w:t>
      </w:r>
    </w:p>
    <w:p>
      <w:pPr>
        <w:pStyle w:val="5"/>
        <w:rPr>
          <w:rStyle w:val="24"/>
          <w:b w:val="0"/>
          <w:bCs w:val="0"/>
        </w:rPr>
      </w:pPr>
      <w:bookmarkStart w:id="11" w:name="_Toc15377200"/>
      <w:bookmarkStart w:id="12" w:name="_Toc15396601"/>
      <w:r>
        <w:rPr>
          <w:rFonts w:hint="eastAsia" w:ascii="黑体" w:eastAsia="黑体"/>
          <w:b w:val="0"/>
          <w:color w:val="000000"/>
        </w:rPr>
        <w:t>二、</w:t>
      </w:r>
      <w:r>
        <w:rPr>
          <w:rFonts w:hint="eastAsia" w:ascii="黑体" w:hAnsi="黑体" w:eastAsia="黑体"/>
          <w:b w:val="0"/>
          <w:color w:val="000000"/>
        </w:rPr>
        <w:t>机</w:t>
      </w:r>
      <w:r>
        <w:rPr>
          <w:rStyle w:val="24"/>
          <w:rFonts w:hint="eastAsia" w:ascii="黑体" w:hAnsi="黑体" w:eastAsia="黑体"/>
          <w:b w:val="0"/>
          <w:bCs w:val="0"/>
        </w:rPr>
        <w:t>构设置</w:t>
      </w:r>
      <w:bookmarkEnd w:id="11"/>
      <w:bookmarkEnd w:id="12"/>
    </w:p>
    <w:p>
      <w:pPr>
        <w:spacing w:line="500" w:lineRule="exact"/>
        <w:ind w:firstLine="800" w:firstLineChars="250"/>
        <w:rPr>
          <w:rFonts w:ascii="仿宋_GB2312" w:eastAsia="仿宋_GB2312"/>
          <w:sz w:val="32"/>
          <w:szCs w:val="32"/>
        </w:rPr>
      </w:pPr>
      <w:r>
        <w:rPr>
          <w:rFonts w:hint="eastAsia" w:ascii="仿宋_GB2312" w:eastAsia="仿宋_GB2312" w:cs="仿宋_GB2312"/>
          <w:sz w:val="32"/>
          <w:szCs w:val="32"/>
        </w:rPr>
        <w:t>德阳市城市管理行政执法局下属二级单位6个，其中行政单位1个，参照公务员法管理的事业单位0个，其他事业单位5个。</w:t>
      </w:r>
    </w:p>
    <w:p>
      <w:pPr>
        <w:pStyle w:val="9"/>
        <w:adjustRightInd w:val="0"/>
        <w:snapToGrid w:val="0"/>
        <w:spacing w:before="72" w:line="500" w:lineRule="exact"/>
        <w:ind w:firstLine="672" w:firstLineChars="210"/>
        <w:rPr>
          <w:rFonts w:ascii="仿宋_GB2312" w:eastAsia="仿宋_GB2312"/>
          <w:sz w:val="32"/>
          <w:szCs w:val="32"/>
        </w:rPr>
      </w:pPr>
      <w:r>
        <w:rPr>
          <w:rFonts w:hint="eastAsia" w:ascii="仿宋_GB2312" w:eastAsia="仿宋_GB2312"/>
          <w:sz w:val="32"/>
          <w:szCs w:val="32"/>
        </w:rPr>
        <w:t>纳入德阳市城市管理行政执法局2020年度部门决算编制范围的二级预算单位包括：</w:t>
      </w:r>
    </w:p>
    <w:p>
      <w:pPr>
        <w:spacing w:line="500" w:lineRule="exact"/>
        <w:ind w:firstLine="640" w:firstLineChars="200"/>
        <w:rPr>
          <w:rFonts w:ascii="仿宋_GB2312" w:eastAsia="仿宋_GB2312"/>
          <w:sz w:val="32"/>
          <w:szCs w:val="32"/>
        </w:rPr>
      </w:pPr>
      <w:bookmarkStart w:id="13" w:name="_Toc15377432"/>
      <w:bookmarkStart w:id="14" w:name="_Toc15377201"/>
      <w:bookmarkStart w:id="15" w:name="_Toc15378448"/>
      <w:bookmarkStart w:id="16" w:name="_Toc15306275"/>
      <w:r>
        <w:rPr>
          <w:rFonts w:hint="eastAsia" w:ascii="仿宋_GB2312" w:eastAsia="仿宋_GB2312" w:cs="仿宋_GB2312"/>
          <w:sz w:val="32"/>
          <w:szCs w:val="32"/>
        </w:rPr>
        <w:t>1、德阳市城市管理行政执法局机关，正县级行政单位，执行行政单位会计制度。2020年末行政编制29人，建设监察支队、执法支队、指挥中心事业编制393人，实际在编人数人数349人。</w:t>
      </w:r>
    </w:p>
    <w:p>
      <w:pPr>
        <w:spacing w:line="500" w:lineRule="exact"/>
        <w:ind w:firstLine="640" w:firstLineChars="200"/>
        <w:rPr>
          <w:rFonts w:ascii="仿宋_GB2312" w:eastAsia="仿宋_GB2312"/>
          <w:sz w:val="32"/>
          <w:szCs w:val="32"/>
        </w:rPr>
      </w:pPr>
      <w:r>
        <w:rPr>
          <w:rFonts w:hint="eastAsia" w:ascii="仿宋_GB2312" w:eastAsia="仿宋_GB2312" w:cs="仿宋_GB2312"/>
          <w:sz w:val="32"/>
          <w:szCs w:val="32"/>
        </w:rPr>
        <w:t>2、德阳市园林管理局，正科级事业单位，是独立核算的二级预算单位，执行事业单位会计制度。事业编制138人，实际在编人数129人。</w:t>
      </w:r>
    </w:p>
    <w:p>
      <w:pPr>
        <w:spacing w:line="500" w:lineRule="exact"/>
        <w:ind w:firstLine="640" w:firstLineChars="200"/>
        <w:rPr>
          <w:rFonts w:ascii="仿宋_GB2312" w:eastAsia="仿宋_GB2312"/>
          <w:sz w:val="32"/>
          <w:szCs w:val="32"/>
        </w:rPr>
      </w:pPr>
      <w:r>
        <w:rPr>
          <w:rFonts w:hint="eastAsia" w:ascii="仿宋_GB2312" w:eastAsia="仿宋_GB2312" w:cs="仿宋_GB2312"/>
          <w:sz w:val="32"/>
          <w:szCs w:val="32"/>
        </w:rPr>
        <w:t>3、德阳市市政工程维护管理处，正科级事业单位，是独立核算的二级预算单位，执行事业单位会计制度。事业编制120人，实际在编人数107人。</w:t>
      </w:r>
    </w:p>
    <w:p>
      <w:pPr>
        <w:spacing w:line="500" w:lineRule="exact"/>
        <w:ind w:firstLine="640" w:firstLineChars="200"/>
        <w:rPr>
          <w:rFonts w:ascii="仿宋_GB2312" w:eastAsia="仿宋_GB2312"/>
          <w:sz w:val="32"/>
          <w:szCs w:val="32"/>
        </w:rPr>
      </w:pPr>
      <w:r>
        <w:rPr>
          <w:rFonts w:hint="eastAsia" w:ascii="仿宋_GB2312" w:eastAsia="仿宋_GB2312" w:cs="仿宋_GB2312"/>
          <w:sz w:val="32"/>
          <w:szCs w:val="32"/>
        </w:rPr>
        <w:t>4、德阳市市容环境卫生管理处，正科级事业单位，是独立核算的二级预算单位，执行事业单位会计制度。事业编制99人，实际在编人数71人。</w:t>
      </w:r>
    </w:p>
    <w:p>
      <w:pPr>
        <w:spacing w:line="500" w:lineRule="exact"/>
        <w:ind w:firstLine="640" w:firstLineChars="200"/>
        <w:rPr>
          <w:rFonts w:ascii="仿宋_GB2312" w:eastAsia="仿宋_GB2312"/>
          <w:sz w:val="32"/>
          <w:szCs w:val="32"/>
        </w:rPr>
      </w:pPr>
      <w:r>
        <w:rPr>
          <w:rFonts w:hint="eastAsia" w:ascii="仿宋_GB2312" w:eastAsia="仿宋_GB2312" w:cs="仿宋_GB2312"/>
          <w:sz w:val="32"/>
          <w:szCs w:val="32"/>
        </w:rPr>
        <w:t>5、德阳市城市照明设施管理处，正科级事业单位，是独立核算的二级预算单位，执行事业单位会计制度。事业编制57人，实际在编人数52人。</w:t>
      </w:r>
    </w:p>
    <w:p>
      <w:pPr>
        <w:snapToGrid w:val="0"/>
        <w:spacing w:line="600" w:lineRule="exact"/>
        <w:ind w:firstLine="640"/>
        <w:rPr>
          <w:rFonts w:ascii="仿宋_GB2312" w:eastAsia="仿宋_GB2312"/>
          <w:sz w:val="32"/>
          <w:szCs w:val="32"/>
        </w:rPr>
      </w:pPr>
      <w:r>
        <w:rPr>
          <w:rFonts w:hint="eastAsia" w:ascii="仿宋_GB2312" w:eastAsia="仿宋_GB2312"/>
          <w:sz w:val="32"/>
          <w:szCs w:val="32"/>
        </w:rPr>
        <w:t>6、德阳市公园管理处，正科级事业单位，是独立核算的二级预算单位，执行事业单位会计制度。事业编制85人，实际在编人数63人。</w:t>
      </w:r>
      <w:bookmarkEnd w:id="13"/>
      <w:bookmarkEnd w:id="14"/>
      <w:bookmarkEnd w:id="15"/>
      <w:bookmarkEnd w:id="16"/>
    </w:p>
    <w:bookmarkEnd w:id="1"/>
    <w:p>
      <w:pPr>
        <w:pStyle w:val="2"/>
        <w:ind w:leftChars="0" w:firstLine="0"/>
      </w:pPr>
    </w:p>
    <w:p>
      <w:pPr>
        <w:pStyle w:val="4"/>
        <w:ind w:right="440"/>
        <w:jc w:val="right"/>
        <w:rPr>
          <w:rStyle w:val="22"/>
          <w:rFonts w:ascii="黑体" w:hAnsi="黑体" w:eastAsia="黑体"/>
          <w:b w:val="0"/>
          <w:bCs w:val="0"/>
        </w:rPr>
      </w:pPr>
      <w:bookmarkStart w:id="17" w:name="OLE_LINK5"/>
      <w:r>
        <w:rPr>
          <w:rFonts w:hint="eastAsia" w:ascii="黑体" w:hAnsi="黑体" w:eastAsia="黑体" w:cs="黑体"/>
          <w:b w:val="0"/>
          <w:bCs w:val="0"/>
          <w:color w:val="000000"/>
        </w:rPr>
        <w:t>第二部分</w:t>
      </w:r>
      <w:r>
        <w:rPr>
          <w:rStyle w:val="22"/>
          <w:rFonts w:ascii="黑体" w:hAnsi="黑体" w:eastAsia="黑体" w:cs="黑体"/>
          <w:b w:val="0"/>
          <w:bCs w:val="0"/>
        </w:rPr>
        <w:t>20</w:t>
      </w:r>
      <w:r>
        <w:rPr>
          <w:rStyle w:val="22"/>
          <w:rFonts w:hint="eastAsia" w:ascii="黑体" w:hAnsi="黑体" w:eastAsia="黑体" w:cs="黑体"/>
          <w:b w:val="0"/>
          <w:bCs w:val="0"/>
        </w:rPr>
        <w:t>20年度部门决算情况说明</w:t>
      </w:r>
    </w:p>
    <w:p>
      <w:pPr>
        <w:pStyle w:val="25"/>
        <w:numPr>
          <w:ilvl w:val="0"/>
          <w:numId w:val="1"/>
        </w:numPr>
        <w:spacing w:line="600" w:lineRule="exact"/>
        <w:ind w:firstLineChars="0"/>
        <w:outlineLvl w:val="1"/>
        <w:rPr>
          <w:rStyle w:val="24"/>
          <w:rFonts w:ascii="黑体" w:hAnsi="黑体" w:eastAsia="黑体"/>
          <w:b w:val="0"/>
          <w:bCs w:val="0"/>
        </w:rPr>
      </w:pPr>
      <w:bookmarkStart w:id="18" w:name="_Toc15396603"/>
      <w:bookmarkStart w:id="19" w:name="_Toc15377205"/>
      <w:r>
        <w:rPr>
          <w:rFonts w:hint="eastAsia" w:ascii="黑体" w:hAnsi="黑体" w:eastAsia="黑体" w:cs="黑体"/>
          <w:color w:val="000000"/>
          <w:sz w:val="32"/>
          <w:szCs w:val="32"/>
        </w:rPr>
        <w:t>收</w:t>
      </w:r>
      <w:r>
        <w:rPr>
          <w:rStyle w:val="24"/>
          <w:rFonts w:hint="eastAsia" w:ascii="黑体" w:hAnsi="黑体" w:eastAsia="黑体" w:cs="黑体"/>
          <w:b w:val="0"/>
          <w:bCs w:val="0"/>
        </w:rPr>
        <w:t>入支出决算总体情况说明</w:t>
      </w:r>
      <w:bookmarkEnd w:id="18"/>
      <w:bookmarkEnd w:id="19"/>
    </w:p>
    <w:p>
      <w:pPr>
        <w:spacing w:line="600" w:lineRule="exact"/>
        <w:ind w:firstLine="640" w:firstLineChars="200"/>
        <w:rPr>
          <w:rFonts w:ascii="仿宋" w:hAnsi="仿宋" w:eastAsia="仿宋"/>
          <w:color w:val="000000"/>
          <w:sz w:val="32"/>
          <w:szCs w:val="32"/>
        </w:rPr>
      </w:pPr>
      <w:r>
        <w:rPr>
          <w:rFonts w:ascii="仿宋_GB2312" w:eastAsia="仿宋_GB2312" w:cs="仿宋_GB2312"/>
          <w:sz w:val="32"/>
          <w:szCs w:val="32"/>
        </w:rPr>
        <w:t>20</w:t>
      </w:r>
      <w:r>
        <w:rPr>
          <w:rFonts w:hint="eastAsia" w:ascii="仿宋_GB2312" w:eastAsia="仿宋_GB2312" w:cs="仿宋_GB2312"/>
          <w:sz w:val="32"/>
          <w:szCs w:val="32"/>
        </w:rPr>
        <w:t>20年度收、支总计34802.73万元，收入33118.23万元</w:t>
      </w:r>
      <w:r>
        <w:rPr>
          <w:rFonts w:ascii="仿宋_GB2312" w:eastAsia="仿宋_GB2312" w:cs="仿宋_GB2312"/>
          <w:sz w:val="32"/>
          <w:szCs w:val="32"/>
        </w:rPr>
        <w:t>,</w:t>
      </w:r>
      <w:r>
        <w:rPr>
          <w:rFonts w:hint="eastAsia" w:ascii="仿宋_GB2312" w:eastAsia="仿宋_GB2312" w:cs="仿宋_GB2312"/>
          <w:sz w:val="32"/>
          <w:szCs w:val="32"/>
        </w:rPr>
        <w:t>支出32291.54万元。与</w:t>
      </w:r>
      <w:r>
        <w:rPr>
          <w:rFonts w:ascii="仿宋_GB2312" w:eastAsia="仿宋_GB2312" w:cs="仿宋_GB2312"/>
          <w:sz w:val="32"/>
          <w:szCs w:val="32"/>
        </w:rPr>
        <w:t>201</w:t>
      </w:r>
      <w:r>
        <w:rPr>
          <w:rFonts w:hint="eastAsia" w:ascii="仿宋_GB2312" w:eastAsia="仿宋_GB2312" w:cs="仿宋_GB2312"/>
          <w:sz w:val="32"/>
          <w:szCs w:val="32"/>
        </w:rPr>
        <w:t>9年相比，收入增加461.39万元</w:t>
      </w:r>
      <w:r>
        <w:rPr>
          <w:rFonts w:ascii="仿宋_GB2312" w:eastAsia="仿宋_GB2312" w:cs="仿宋_GB2312"/>
          <w:sz w:val="32"/>
          <w:szCs w:val="32"/>
        </w:rPr>
        <w:t>,</w:t>
      </w:r>
      <w:r>
        <w:rPr>
          <w:rFonts w:hint="eastAsia" w:ascii="仿宋_GB2312" w:eastAsia="仿宋_GB2312" w:cs="仿宋_GB2312"/>
          <w:sz w:val="32"/>
          <w:szCs w:val="32"/>
        </w:rPr>
        <w:t>增加1.42%，主要原因是人员经费等增加；支出减少2434.60万元，减少7.01%。主要变动原因是项目经费的减少</w:t>
      </w:r>
      <w:r>
        <w:rPr>
          <w:rFonts w:hint="eastAsia" w:ascii="仿宋" w:hAnsi="仿宋" w:eastAsia="仿宋" w:cs="仿宋"/>
          <w:color w:val="000000"/>
          <w:sz w:val="32"/>
          <w:szCs w:val="32"/>
        </w:rPr>
        <w:t>。</w:t>
      </w:r>
    </w:p>
    <w:p>
      <w:pPr>
        <w:spacing w:line="600" w:lineRule="exact"/>
        <w:ind w:firstLine="420" w:firstLineChars="200"/>
        <w:rPr>
          <w:rFonts w:ascii="仿宋" w:hAnsi="仿宋" w:eastAsia="仿宋"/>
          <w:color w:val="000000"/>
        </w:rPr>
      </w:pPr>
      <w:r>
        <w:rPr>
          <w:rFonts w:hint="eastAsia" w:ascii="仿宋" w:hAnsi="仿宋" w:eastAsia="仿宋" w:cs="仿宋"/>
          <w:color w:val="000000"/>
        </w:rPr>
        <w:t>（图</w:t>
      </w:r>
      <w:r>
        <w:rPr>
          <w:rFonts w:ascii="仿宋" w:hAnsi="仿宋" w:eastAsia="仿宋" w:cs="仿宋"/>
          <w:color w:val="000000"/>
        </w:rPr>
        <w:t>1</w:t>
      </w:r>
      <w:r>
        <w:rPr>
          <w:rFonts w:hint="eastAsia" w:ascii="仿宋" w:hAnsi="仿宋" w:eastAsia="仿宋" w:cs="仿宋"/>
          <w:color w:val="000000"/>
        </w:rPr>
        <w:t>：收、支决算总计变动情况图）</w:t>
      </w:r>
    </w:p>
    <w:p>
      <w:pPr>
        <w:rPr>
          <w:rFonts w:ascii="仿宋" w:hAnsi="仿宋" w:eastAsia="仿宋"/>
          <w:color w:val="000000"/>
          <w:sz w:val="32"/>
          <w:szCs w:val="32"/>
        </w:rPr>
      </w:pPr>
      <w:r>
        <w:rPr>
          <w:rFonts w:ascii="仿宋" w:hAnsi="仿宋" w:eastAsia="仿宋"/>
          <w:color w:val="000000"/>
          <w:sz w:val="32"/>
          <w:szCs w:val="32"/>
        </w:rPr>
        <w:drawing>
          <wp:inline distT="0" distB="0" distL="0" distR="0">
            <wp:extent cx="5482590" cy="2657475"/>
            <wp:effectExtent l="0" t="0" r="0" b="0"/>
            <wp:docPr id="1" name="对象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bookmarkStart w:id="20" w:name="_Toc15396604"/>
      <w:bookmarkStart w:id="21" w:name="_Toc15377206"/>
    </w:p>
    <w:p>
      <w:pPr>
        <w:spacing w:line="600" w:lineRule="exact"/>
        <w:ind w:left="640"/>
        <w:outlineLvl w:val="1"/>
        <w:rPr>
          <w:rStyle w:val="24"/>
          <w:rFonts w:ascii="黑体" w:hAnsi="黑体" w:eastAsia="黑体"/>
          <w:b w:val="0"/>
          <w:bCs w:val="0"/>
        </w:rPr>
      </w:pPr>
      <w:r>
        <w:rPr>
          <w:rFonts w:hint="eastAsia" w:ascii="黑体" w:hAnsi="黑体" w:eastAsia="黑体" w:cs="黑体"/>
          <w:color w:val="000000"/>
          <w:sz w:val="32"/>
          <w:szCs w:val="32"/>
        </w:rPr>
        <w:t>二、收</w:t>
      </w:r>
      <w:r>
        <w:rPr>
          <w:rStyle w:val="24"/>
          <w:rFonts w:hint="eastAsia" w:ascii="黑体" w:hAnsi="黑体" w:eastAsia="黑体" w:cs="黑体"/>
          <w:b w:val="0"/>
        </w:rPr>
        <w:t>入决算情况说明</w:t>
      </w:r>
      <w:bookmarkEnd w:id="20"/>
      <w:bookmarkEnd w:id="21"/>
    </w:p>
    <w:p>
      <w:pPr>
        <w:spacing w:line="600" w:lineRule="exact"/>
        <w:ind w:firstLine="640" w:firstLineChars="200"/>
        <w:outlineLvl w:val="1"/>
        <w:rPr>
          <w:rFonts w:ascii="仿宋" w:hAnsi="仿宋" w:eastAsia="仿宋"/>
          <w:color w:val="000000"/>
          <w:sz w:val="32"/>
          <w:szCs w:val="32"/>
        </w:rPr>
      </w:pPr>
      <w:r>
        <w:rPr>
          <w:rFonts w:ascii="仿宋_GB2312" w:eastAsia="仿宋_GB2312" w:cs="仿宋_GB2312"/>
          <w:sz w:val="32"/>
          <w:szCs w:val="32"/>
        </w:rPr>
        <w:t>20</w:t>
      </w:r>
      <w:r>
        <w:rPr>
          <w:rFonts w:hint="eastAsia" w:ascii="仿宋_GB2312" w:eastAsia="仿宋_GB2312" w:cs="仿宋_GB2312"/>
          <w:sz w:val="32"/>
          <w:szCs w:val="32"/>
        </w:rPr>
        <w:t>20年本年收入合计33118.23万元，其中：一般公共预算财政拨款收33118.18万元，占99.99</w:t>
      </w:r>
      <w:r>
        <w:rPr>
          <w:rFonts w:ascii="仿宋_GB2312" w:eastAsia="仿宋_GB2312" w:cs="仿宋_GB2312"/>
          <w:sz w:val="32"/>
          <w:szCs w:val="32"/>
        </w:rPr>
        <w:t>%</w:t>
      </w:r>
      <w:r>
        <w:rPr>
          <w:rFonts w:hint="eastAsia" w:ascii="仿宋_GB2312" w:eastAsia="仿宋_GB2312" w:cs="仿宋_GB2312"/>
          <w:sz w:val="32"/>
          <w:szCs w:val="32"/>
        </w:rPr>
        <w:t>；政府性基金预算财政拨款收入0万元；国有资本经营预算财政拨款收入</w:t>
      </w:r>
      <w:r>
        <w:rPr>
          <w:rFonts w:ascii="仿宋_GB2312" w:eastAsia="仿宋_GB2312" w:cs="仿宋_GB2312"/>
          <w:sz w:val="32"/>
          <w:szCs w:val="32"/>
        </w:rPr>
        <w:t>0</w:t>
      </w:r>
      <w:r>
        <w:rPr>
          <w:rFonts w:hint="eastAsia" w:ascii="仿宋_GB2312" w:eastAsia="仿宋_GB2312" w:cs="仿宋_GB2312"/>
          <w:sz w:val="32"/>
          <w:szCs w:val="32"/>
        </w:rPr>
        <w:t>万元；事业收入</w:t>
      </w:r>
      <w:r>
        <w:rPr>
          <w:rFonts w:ascii="仿宋_GB2312" w:eastAsia="仿宋_GB2312" w:cs="仿宋_GB2312"/>
          <w:sz w:val="32"/>
          <w:szCs w:val="32"/>
        </w:rPr>
        <w:t>0</w:t>
      </w:r>
      <w:r>
        <w:rPr>
          <w:rFonts w:hint="eastAsia" w:ascii="仿宋_GB2312" w:eastAsia="仿宋_GB2312" w:cs="仿宋_GB2312"/>
          <w:sz w:val="32"/>
          <w:szCs w:val="32"/>
        </w:rPr>
        <w:t>万元；经营收入</w:t>
      </w:r>
      <w:r>
        <w:rPr>
          <w:rFonts w:ascii="仿宋_GB2312" w:eastAsia="仿宋_GB2312" w:cs="仿宋_GB2312"/>
          <w:sz w:val="32"/>
          <w:szCs w:val="32"/>
        </w:rPr>
        <w:t>0</w:t>
      </w:r>
      <w:r>
        <w:rPr>
          <w:rFonts w:hint="eastAsia" w:ascii="仿宋_GB2312" w:eastAsia="仿宋_GB2312" w:cs="仿宋_GB2312"/>
          <w:sz w:val="32"/>
          <w:szCs w:val="32"/>
        </w:rPr>
        <w:t>万元；附属单位上缴收入</w:t>
      </w:r>
      <w:r>
        <w:rPr>
          <w:rFonts w:ascii="仿宋_GB2312" w:eastAsia="仿宋_GB2312" w:cs="仿宋_GB2312"/>
          <w:sz w:val="32"/>
          <w:szCs w:val="32"/>
        </w:rPr>
        <w:t>0</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其他收入0.05万元。</w:t>
      </w:r>
    </w:p>
    <w:p>
      <w:pPr>
        <w:spacing w:line="240" w:lineRule="atLeast"/>
        <w:ind w:firstLine="480" w:firstLineChars="200"/>
        <w:rPr>
          <w:rFonts w:ascii="仿宋" w:hAnsi="仿宋" w:eastAsia="仿宋"/>
          <w:color w:val="000000"/>
          <w:sz w:val="24"/>
        </w:rPr>
      </w:pPr>
      <w:r>
        <w:rPr>
          <w:rFonts w:hint="eastAsia" w:ascii="仿宋" w:hAnsi="仿宋" w:eastAsia="仿宋" w:cs="仿宋"/>
          <w:color w:val="000000"/>
          <w:sz w:val="24"/>
        </w:rPr>
        <w:t>（图</w:t>
      </w:r>
      <w:r>
        <w:rPr>
          <w:rFonts w:ascii="仿宋" w:hAnsi="仿宋" w:eastAsia="仿宋" w:cs="仿宋"/>
          <w:color w:val="000000"/>
          <w:sz w:val="24"/>
        </w:rPr>
        <w:t>2</w:t>
      </w:r>
      <w:r>
        <w:rPr>
          <w:rFonts w:hint="eastAsia" w:ascii="仿宋" w:hAnsi="仿宋" w:eastAsia="仿宋" w:cs="仿宋"/>
          <w:color w:val="000000"/>
          <w:sz w:val="24"/>
        </w:rPr>
        <w:t>：收入决算结构图）</w:t>
      </w:r>
    </w:p>
    <w:p>
      <w:pPr>
        <w:ind w:firstLine="640" w:firstLineChars="200"/>
        <w:rPr>
          <w:rFonts w:ascii="仿宋_GB2312" w:eastAsia="仿宋_GB2312"/>
          <w:color w:val="FF0000"/>
          <w:sz w:val="32"/>
          <w:szCs w:val="32"/>
        </w:rPr>
      </w:pPr>
      <w:r>
        <w:rPr>
          <w:rFonts w:ascii="仿宋_GB2312" w:eastAsia="仿宋_GB2312"/>
          <w:color w:val="FF0000"/>
          <w:sz w:val="32"/>
          <w:szCs w:val="32"/>
        </w:rPr>
        <w:drawing>
          <wp:inline distT="0" distB="0" distL="0" distR="0">
            <wp:extent cx="5534025" cy="2325370"/>
            <wp:effectExtent l="0" t="0" r="0" b="0"/>
            <wp:docPr id="2" name="对象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pStyle w:val="25"/>
        <w:numPr>
          <w:ilvl w:val="0"/>
          <w:numId w:val="2"/>
        </w:numPr>
        <w:spacing w:line="600" w:lineRule="exact"/>
        <w:ind w:firstLineChars="0"/>
        <w:outlineLvl w:val="1"/>
        <w:rPr>
          <w:rStyle w:val="24"/>
          <w:rFonts w:ascii="黑体" w:hAnsi="黑体" w:eastAsia="黑体"/>
          <w:b w:val="0"/>
          <w:bCs w:val="0"/>
        </w:rPr>
      </w:pPr>
      <w:bookmarkStart w:id="22" w:name="_Toc15377207"/>
      <w:bookmarkStart w:id="23" w:name="_Toc15396605"/>
      <w:r>
        <w:rPr>
          <w:rFonts w:hint="eastAsia" w:ascii="黑体" w:hAnsi="黑体" w:eastAsia="黑体" w:cs="黑体"/>
          <w:color w:val="000000"/>
          <w:sz w:val="32"/>
          <w:szCs w:val="32"/>
        </w:rPr>
        <w:t>支</w:t>
      </w:r>
      <w:r>
        <w:rPr>
          <w:rStyle w:val="24"/>
          <w:rFonts w:hint="eastAsia" w:ascii="黑体" w:hAnsi="黑体" w:eastAsia="黑体" w:cs="黑体"/>
          <w:b w:val="0"/>
        </w:rPr>
        <w:t>出决算情况说明</w:t>
      </w:r>
      <w:bookmarkEnd w:id="22"/>
      <w:bookmarkEnd w:id="23"/>
    </w:p>
    <w:p>
      <w:pPr>
        <w:spacing w:line="600" w:lineRule="exact"/>
        <w:ind w:firstLine="640"/>
        <w:rPr>
          <w:rFonts w:ascii="仿宋_GB2312" w:eastAsia="仿宋_GB2312"/>
          <w:sz w:val="32"/>
          <w:szCs w:val="32"/>
        </w:rPr>
      </w:pPr>
      <w:r>
        <w:rPr>
          <w:rFonts w:hint="eastAsia" w:ascii="仿宋_GB2312" w:eastAsia="仿宋_GB2312" w:cs="仿宋_GB2312"/>
          <w:sz w:val="32"/>
          <w:szCs w:val="32"/>
        </w:rPr>
        <w:t>2020年本年支出合计32291.54万元，其中：基本支出10305.82，占31.91</w:t>
      </w:r>
      <w:r>
        <w:rPr>
          <w:rFonts w:ascii="仿宋_GB2312" w:eastAsia="仿宋_GB2312" w:cs="仿宋_GB2312"/>
          <w:sz w:val="32"/>
          <w:szCs w:val="32"/>
        </w:rPr>
        <w:t>%</w:t>
      </w:r>
      <w:r>
        <w:rPr>
          <w:rFonts w:hint="eastAsia" w:ascii="仿宋_GB2312" w:eastAsia="仿宋_GB2312" w:cs="仿宋_GB2312"/>
          <w:sz w:val="32"/>
          <w:szCs w:val="32"/>
        </w:rPr>
        <w:t>；项目支出21985.72万元，占68.09</w:t>
      </w:r>
      <w:r>
        <w:rPr>
          <w:rFonts w:ascii="仿宋_GB2312" w:eastAsia="仿宋_GB2312" w:cs="仿宋_GB2312"/>
          <w:sz w:val="32"/>
          <w:szCs w:val="32"/>
        </w:rPr>
        <w:t>%</w:t>
      </w:r>
      <w:r>
        <w:rPr>
          <w:rFonts w:hint="eastAsia" w:ascii="仿宋_GB2312" w:eastAsia="仿宋_GB2312" w:cs="仿宋_GB2312"/>
          <w:sz w:val="32"/>
          <w:szCs w:val="32"/>
        </w:rPr>
        <w:t>；上缴上级支出</w:t>
      </w:r>
      <w:r>
        <w:rPr>
          <w:rFonts w:ascii="仿宋_GB2312" w:eastAsia="仿宋_GB2312" w:cs="仿宋_GB2312"/>
          <w:sz w:val="32"/>
          <w:szCs w:val="32"/>
        </w:rPr>
        <w:t>0</w:t>
      </w:r>
      <w:r>
        <w:rPr>
          <w:rFonts w:hint="eastAsia" w:ascii="仿宋_GB2312" w:eastAsia="仿宋_GB2312" w:cs="仿宋_GB2312"/>
          <w:sz w:val="32"/>
          <w:szCs w:val="32"/>
        </w:rPr>
        <w:t>万元；经营支出</w:t>
      </w:r>
      <w:r>
        <w:rPr>
          <w:rFonts w:ascii="仿宋_GB2312" w:eastAsia="仿宋_GB2312" w:cs="仿宋_GB2312"/>
          <w:sz w:val="32"/>
          <w:szCs w:val="32"/>
        </w:rPr>
        <w:t>0</w:t>
      </w:r>
      <w:r>
        <w:rPr>
          <w:rFonts w:hint="eastAsia" w:ascii="仿宋_GB2312" w:eastAsia="仿宋_GB2312" w:cs="仿宋_GB2312"/>
          <w:sz w:val="32"/>
          <w:szCs w:val="32"/>
        </w:rPr>
        <w:t>万元；对附属单位补助支出</w:t>
      </w:r>
      <w:r>
        <w:rPr>
          <w:rFonts w:ascii="仿宋_GB2312" w:eastAsia="仿宋_GB2312" w:cs="仿宋_GB2312"/>
          <w:sz w:val="32"/>
          <w:szCs w:val="32"/>
        </w:rPr>
        <w:t>0</w:t>
      </w:r>
      <w:r>
        <w:rPr>
          <w:rFonts w:hint="eastAsia" w:ascii="仿宋_GB2312" w:eastAsia="仿宋_GB2312" w:cs="仿宋_GB2312"/>
          <w:sz w:val="32"/>
          <w:szCs w:val="32"/>
        </w:rPr>
        <w:t>万元。</w:t>
      </w:r>
    </w:p>
    <w:p>
      <w:pPr>
        <w:spacing w:line="600" w:lineRule="exact"/>
        <w:ind w:firstLine="480" w:firstLineChars="200"/>
        <w:rPr>
          <w:rFonts w:ascii="仿宋" w:hAnsi="仿宋" w:eastAsia="仿宋"/>
          <w:color w:val="000000"/>
          <w:sz w:val="24"/>
        </w:rPr>
      </w:pPr>
      <w:r>
        <w:rPr>
          <w:rFonts w:hint="eastAsia" w:ascii="仿宋" w:hAnsi="仿宋" w:eastAsia="仿宋" w:cs="仿宋"/>
          <w:color w:val="000000"/>
          <w:sz w:val="24"/>
        </w:rPr>
        <w:t>（图</w:t>
      </w:r>
      <w:r>
        <w:rPr>
          <w:rFonts w:ascii="仿宋" w:hAnsi="仿宋" w:eastAsia="仿宋" w:cs="仿宋"/>
          <w:color w:val="000000"/>
          <w:sz w:val="24"/>
        </w:rPr>
        <w:t>3</w:t>
      </w:r>
      <w:r>
        <w:rPr>
          <w:rFonts w:hint="eastAsia" w:ascii="仿宋" w:hAnsi="仿宋" w:eastAsia="仿宋" w:cs="仿宋"/>
          <w:color w:val="000000"/>
          <w:sz w:val="24"/>
        </w:rPr>
        <w:t>：支出决算结构图）</w:t>
      </w:r>
    </w:p>
    <w:p>
      <w:pPr>
        <w:ind w:firstLine="480" w:firstLineChars="200"/>
        <w:rPr>
          <w:rFonts w:ascii="仿宋_GB2312" w:eastAsia="仿宋_GB2312"/>
          <w:color w:val="FF0000"/>
          <w:sz w:val="24"/>
        </w:rPr>
      </w:pPr>
      <w:r>
        <w:rPr>
          <w:rFonts w:ascii="仿宋_GB2312" w:eastAsia="仿宋_GB2312"/>
          <w:color w:val="FF0000"/>
          <w:sz w:val="24"/>
        </w:rPr>
        <w:drawing>
          <wp:inline distT="0" distB="0" distL="0" distR="0">
            <wp:extent cx="4657725" cy="1857375"/>
            <wp:effectExtent l="0" t="0" r="0" b="0"/>
            <wp:docPr id="3" name="对象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spacing w:line="600" w:lineRule="exact"/>
        <w:ind w:firstLine="640" w:firstLineChars="200"/>
        <w:outlineLvl w:val="1"/>
        <w:rPr>
          <w:rStyle w:val="24"/>
          <w:rFonts w:ascii="黑体" w:hAnsi="黑体" w:eastAsia="黑体"/>
          <w:b w:val="0"/>
          <w:bCs w:val="0"/>
        </w:rPr>
      </w:pPr>
      <w:bookmarkStart w:id="24" w:name="_Toc15396606"/>
      <w:bookmarkStart w:id="25" w:name="_Toc15377208"/>
      <w:r>
        <w:rPr>
          <w:rFonts w:hint="eastAsia" w:ascii="黑体" w:hAnsi="黑体" w:eastAsia="黑体" w:cs="黑体"/>
          <w:color w:val="000000"/>
          <w:sz w:val="32"/>
          <w:szCs w:val="32"/>
        </w:rPr>
        <w:t>四、财</w:t>
      </w:r>
      <w:r>
        <w:rPr>
          <w:rStyle w:val="24"/>
          <w:rFonts w:hint="eastAsia" w:ascii="黑体" w:hAnsi="黑体" w:eastAsia="黑体" w:cs="黑体"/>
          <w:b w:val="0"/>
        </w:rPr>
        <w:t>政拨款收入支出决算总体情况说明</w:t>
      </w:r>
      <w:bookmarkEnd w:id="24"/>
      <w:bookmarkEnd w:id="25"/>
    </w:p>
    <w:p>
      <w:pPr>
        <w:spacing w:line="600" w:lineRule="exact"/>
        <w:ind w:firstLine="640" w:firstLineChars="200"/>
        <w:rPr>
          <w:rFonts w:ascii="仿宋" w:hAnsi="仿宋" w:eastAsia="仿宋"/>
          <w:color w:val="000000"/>
          <w:sz w:val="32"/>
          <w:szCs w:val="32"/>
        </w:rPr>
      </w:pPr>
      <w:r>
        <w:rPr>
          <w:rFonts w:hint="eastAsia" w:ascii="仿宋_GB2312" w:eastAsia="仿宋_GB2312" w:cs="仿宋_GB2312"/>
          <w:sz w:val="32"/>
          <w:szCs w:val="32"/>
        </w:rPr>
        <w:t>2020年财政拨款收、支总计34802.68万元。收入33118.18万元，与</w:t>
      </w:r>
      <w:r>
        <w:rPr>
          <w:rFonts w:ascii="仿宋_GB2312" w:eastAsia="仿宋_GB2312" w:cs="仿宋_GB2312"/>
          <w:sz w:val="32"/>
          <w:szCs w:val="32"/>
        </w:rPr>
        <w:t>201</w:t>
      </w:r>
      <w:r>
        <w:rPr>
          <w:rFonts w:hint="eastAsia" w:ascii="仿宋_GB2312" w:eastAsia="仿宋_GB2312" w:cs="仿宋_GB2312"/>
          <w:sz w:val="32"/>
          <w:szCs w:val="32"/>
        </w:rPr>
        <w:t>9年相比，增加了461.43万元，增加1.42</w:t>
      </w:r>
      <w:r>
        <w:rPr>
          <w:rFonts w:ascii="仿宋_GB2312" w:eastAsia="仿宋_GB2312" w:cs="仿宋_GB2312"/>
          <w:sz w:val="32"/>
          <w:szCs w:val="32"/>
        </w:rPr>
        <w:t>%</w:t>
      </w:r>
      <w:r>
        <w:rPr>
          <w:rFonts w:hint="eastAsia" w:ascii="仿宋_GB2312" w:eastAsia="仿宋_GB2312" w:cs="仿宋_GB2312"/>
          <w:sz w:val="32"/>
          <w:szCs w:val="32"/>
        </w:rPr>
        <w:t>，主要变动原因是人员经费增加；支出32291.49元，与</w:t>
      </w:r>
      <w:r>
        <w:rPr>
          <w:rFonts w:ascii="仿宋_GB2312" w:eastAsia="仿宋_GB2312" w:cs="仿宋_GB2312"/>
          <w:sz w:val="32"/>
          <w:szCs w:val="32"/>
        </w:rPr>
        <w:t>201</w:t>
      </w:r>
      <w:r>
        <w:rPr>
          <w:rFonts w:hint="eastAsia" w:ascii="仿宋_GB2312" w:eastAsia="仿宋_GB2312" w:cs="仿宋_GB2312"/>
          <w:sz w:val="32"/>
          <w:szCs w:val="32"/>
        </w:rPr>
        <w:t>9年相比，减少2434.65万元，减少7.01</w:t>
      </w:r>
      <w:r>
        <w:rPr>
          <w:rFonts w:ascii="仿宋_GB2312" w:eastAsia="仿宋_GB2312" w:cs="仿宋_GB2312"/>
          <w:sz w:val="32"/>
          <w:szCs w:val="32"/>
        </w:rPr>
        <w:t>%</w:t>
      </w:r>
      <w:r>
        <w:rPr>
          <w:rFonts w:hint="eastAsia" w:ascii="仿宋_GB2312" w:eastAsia="仿宋_GB2312" w:cs="仿宋_GB2312"/>
          <w:sz w:val="32"/>
          <w:szCs w:val="32"/>
        </w:rPr>
        <w:t>，主要变动原因是项目经费减少。</w:t>
      </w:r>
    </w:p>
    <w:p>
      <w:pPr>
        <w:spacing w:line="600" w:lineRule="exact"/>
        <w:ind w:firstLine="640" w:firstLineChars="200"/>
        <w:rPr>
          <w:rFonts w:ascii="仿宋_GB2312" w:eastAsia="仿宋_GB2312"/>
          <w:sz w:val="32"/>
          <w:szCs w:val="32"/>
        </w:rPr>
      </w:pPr>
    </w:p>
    <w:p>
      <w:pPr>
        <w:spacing w:line="600" w:lineRule="exact"/>
        <w:ind w:firstLine="480" w:firstLineChars="200"/>
        <w:rPr>
          <w:rFonts w:ascii="仿宋" w:hAnsi="仿宋" w:eastAsia="仿宋"/>
          <w:color w:val="000000"/>
          <w:sz w:val="24"/>
        </w:rPr>
      </w:pPr>
      <w:r>
        <w:rPr>
          <w:rFonts w:hint="eastAsia" w:ascii="仿宋" w:hAnsi="仿宋" w:eastAsia="仿宋" w:cs="仿宋"/>
          <w:color w:val="000000"/>
          <w:sz w:val="24"/>
        </w:rPr>
        <w:t>（图</w:t>
      </w:r>
      <w:r>
        <w:rPr>
          <w:rFonts w:ascii="仿宋" w:hAnsi="仿宋" w:eastAsia="仿宋" w:cs="仿宋"/>
          <w:color w:val="000000"/>
          <w:sz w:val="24"/>
        </w:rPr>
        <w:t>4</w:t>
      </w:r>
      <w:r>
        <w:rPr>
          <w:rFonts w:hint="eastAsia" w:ascii="仿宋" w:hAnsi="仿宋" w:eastAsia="仿宋" w:cs="仿宋"/>
          <w:color w:val="000000"/>
          <w:sz w:val="24"/>
        </w:rPr>
        <w:t>：财政拨款收、支决算总计变动情况）</w:t>
      </w:r>
    </w:p>
    <w:p>
      <w:pPr>
        <w:ind w:firstLine="640" w:firstLineChars="200"/>
        <w:rPr>
          <w:rFonts w:ascii="仿宋" w:hAnsi="仿宋" w:eastAsia="仿宋"/>
          <w:color w:val="000000"/>
          <w:sz w:val="32"/>
          <w:szCs w:val="32"/>
        </w:rPr>
      </w:pPr>
      <w:r>
        <w:rPr>
          <w:rFonts w:ascii="仿宋" w:hAnsi="仿宋" w:eastAsia="仿宋"/>
          <w:color w:val="000000"/>
          <w:sz w:val="32"/>
          <w:szCs w:val="32"/>
        </w:rPr>
        <w:drawing>
          <wp:inline distT="0" distB="0" distL="0" distR="0">
            <wp:extent cx="4495800" cy="1855470"/>
            <wp:effectExtent l="0" t="0" r="0" b="0"/>
            <wp:docPr id="25" name="对象 2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spacing w:line="160" w:lineRule="atLeast"/>
        <w:ind w:firstLine="641"/>
        <w:rPr>
          <w:rFonts w:ascii="仿宋" w:hAnsi="仿宋" w:eastAsia="仿宋"/>
          <w:b/>
          <w:bCs/>
          <w:color w:val="000000"/>
        </w:rPr>
      </w:pPr>
    </w:p>
    <w:p>
      <w:pPr>
        <w:spacing w:line="600" w:lineRule="exact"/>
        <w:ind w:firstLine="640"/>
        <w:rPr>
          <w:rFonts w:ascii="仿宋" w:hAnsi="仿宋" w:eastAsia="仿宋"/>
          <w:b/>
          <w:bCs/>
          <w:color w:val="00B050"/>
          <w:sz w:val="32"/>
          <w:szCs w:val="32"/>
        </w:rPr>
      </w:pPr>
    </w:p>
    <w:p>
      <w:pPr>
        <w:spacing w:line="600" w:lineRule="exact"/>
        <w:ind w:firstLine="640" w:firstLineChars="200"/>
        <w:outlineLvl w:val="1"/>
        <w:rPr>
          <w:rStyle w:val="24"/>
          <w:rFonts w:ascii="黑体" w:hAnsi="黑体" w:eastAsia="黑体"/>
          <w:b w:val="0"/>
          <w:bCs w:val="0"/>
        </w:rPr>
      </w:pPr>
      <w:bookmarkStart w:id="26" w:name="_Toc15377209"/>
      <w:bookmarkStart w:id="27" w:name="_Toc15396607"/>
      <w:r>
        <w:rPr>
          <w:rFonts w:hint="eastAsia" w:ascii="黑体" w:hAnsi="黑体" w:eastAsia="黑体" w:cs="黑体"/>
          <w:color w:val="000000"/>
          <w:sz w:val="32"/>
          <w:szCs w:val="32"/>
        </w:rPr>
        <w:t>五、</w:t>
      </w:r>
      <w:r>
        <w:rPr>
          <w:rFonts w:hint="eastAsia" w:ascii="黑体" w:hAnsi="黑体" w:eastAsia="黑体" w:cs="黑体"/>
          <w:b/>
          <w:bCs/>
          <w:color w:val="000000"/>
          <w:sz w:val="32"/>
          <w:szCs w:val="32"/>
        </w:rPr>
        <w:t>一</w:t>
      </w:r>
      <w:r>
        <w:rPr>
          <w:rStyle w:val="24"/>
          <w:rFonts w:hint="eastAsia" w:ascii="黑体" w:hAnsi="黑体" w:eastAsia="黑体" w:cs="黑体"/>
          <w:b w:val="0"/>
        </w:rPr>
        <w:t>般公共预算财政拨款支出决算情况说明</w:t>
      </w:r>
      <w:bookmarkEnd w:id="26"/>
      <w:bookmarkEnd w:id="27"/>
    </w:p>
    <w:p>
      <w:pPr>
        <w:spacing w:line="600" w:lineRule="exact"/>
        <w:ind w:firstLine="643" w:firstLineChars="200"/>
        <w:outlineLvl w:val="2"/>
        <w:rPr>
          <w:rFonts w:ascii="仿宋" w:hAnsi="仿宋" w:eastAsia="仿宋"/>
          <w:b/>
          <w:bCs/>
          <w:color w:val="000000"/>
          <w:sz w:val="32"/>
          <w:szCs w:val="32"/>
        </w:rPr>
      </w:pPr>
      <w:bookmarkStart w:id="28" w:name="_Toc15377210"/>
      <w:r>
        <w:rPr>
          <w:rFonts w:hint="eastAsia" w:ascii="仿宋" w:hAnsi="仿宋" w:eastAsia="仿宋" w:cs="仿宋"/>
          <w:b/>
          <w:bCs/>
          <w:color w:val="000000"/>
          <w:sz w:val="32"/>
          <w:szCs w:val="32"/>
        </w:rPr>
        <w:t>（一）一般公共预算财政拨款支出决算总体情况</w:t>
      </w:r>
      <w:bookmarkEnd w:id="28"/>
    </w:p>
    <w:p>
      <w:pPr>
        <w:spacing w:line="600" w:lineRule="exact"/>
        <w:ind w:firstLine="640" w:firstLineChars="200"/>
        <w:rPr>
          <w:rFonts w:ascii="仿宋_GB2312" w:eastAsia="仿宋_GB2312"/>
          <w:sz w:val="32"/>
          <w:szCs w:val="32"/>
        </w:rPr>
      </w:pPr>
      <w:r>
        <w:rPr>
          <w:rFonts w:ascii="仿宋_GB2312" w:eastAsia="仿宋_GB2312" w:cs="仿宋_GB2312"/>
          <w:sz w:val="32"/>
          <w:szCs w:val="32"/>
        </w:rPr>
        <w:t>20</w:t>
      </w:r>
      <w:r>
        <w:rPr>
          <w:rFonts w:hint="eastAsia" w:ascii="仿宋_GB2312" w:eastAsia="仿宋_GB2312" w:cs="仿宋_GB2312"/>
          <w:sz w:val="32"/>
          <w:szCs w:val="32"/>
        </w:rPr>
        <w:t>20年一般公共预算财政拨款支出32282.51万元，占本年支出合计的99.97</w:t>
      </w:r>
      <w:r>
        <w:rPr>
          <w:rFonts w:ascii="仿宋_GB2312" w:eastAsia="仿宋_GB2312" w:cs="仿宋_GB2312"/>
          <w:sz w:val="32"/>
          <w:szCs w:val="32"/>
        </w:rPr>
        <w:t>%</w:t>
      </w:r>
      <w:r>
        <w:rPr>
          <w:rFonts w:hint="eastAsia" w:ascii="仿宋_GB2312" w:eastAsia="仿宋_GB2312" w:cs="仿宋_GB2312"/>
          <w:sz w:val="32"/>
          <w:szCs w:val="32"/>
        </w:rPr>
        <w:t>。与</w:t>
      </w:r>
      <w:r>
        <w:rPr>
          <w:rFonts w:ascii="仿宋_GB2312" w:eastAsia="仿宋_GB2312" w:cs="仿宋_GB2312"/>
          <w:sz w:val="32"/>
          <w:szCs w:val="32"/>
        </w:rPr>
        <w:t>201</w:t>
      </w:r>
      <w:r>
        <w:rPr>
          <w:rFonts w:hint="eastAsia" w:ascii="仿宋_GB2312" w:eastAsia="仿宋_GB2312" w:cs="仿宋_GB2312"/>
          <w:sz w:val="32"/>
          <w:szCs w:val="32"/>
        </w:rPr>
        <w:t>9年相比，一般公共预算财政拨款减少2246.75万元，减少6.50</w:t>
      </w:r>
      <w:r>
        <w:rPr>
          <w:rFonts w:ascii="仿宋_GB2312" w:eastAsia="仿宋_GB2312" w:cs="仿宋_GB2312"/>
          <w:sz w:val="32"/>
          <w:szCs w:val="32"/>
        </w:rPr>
        <w:t>%</w:t>
      </w:r>
      <w:r>
        <w:rPr>
          <w:rFonts w:hint="eastAsia" w:ascii="仿宋_GB2312" w:eastAsia="仿宋_GB2312" w:cs="仿宋_GB2312"/>
          <w:sz w:val="32"/>
          <w:szCs w:val="32"/>
        </w:rPr>
        <w:t>。主要变动原因是人社局核定1670人环卫临聘人员经费、垃圾清运服务公司运行等项目经费减少。</w:t>
      </w:r>
    </w:p>
    <w:p>
      <w:pPr>
        <w:spacing w:line="160" w:lineRule="atLeast"/>
        <w:ind w:firstLine="480" w:firstLineChars="200"/>
        <w:rPr>
          <w:rFonts w:ascii="仿宋" w:hAnsi="仿宋" w:eastAsia="仿宋"/>
          <w:color w:val="000000"/>
          <w:sz w:val="24"/>
        </w:rPr>
      </w:pPr>
      <w:r>
        <w:rPr>
          <w:rFonts w:hint="eastAsia" w:ascii="仿宋" w:hAnsi="仿宋" w:eastAsia="仿宋" w:cs="仿宋"/>
          <w:color w:val="000000"/>
          <w:sz w:val="24"/>
        </w:rPr>
        <w:t>（图</w:t>
      </w:r>
      <w:r>
        <w:rPr>
          <w:rFonts w:ascii="仿宋" w:hAnsi="仿宋" w:eastAsia="仿宋" w:cs="仿宋"/>
          <w:color w:val="000000"/>
          <w:sz w:val="24"/>
        </w:rPr>
        <w:t>5</w:t>
      </w:r>
      <w:r>
        <w:rPr>
          <w:rFonts w:hint="eastAsia" w:ascii="仿宋" w:hAnsi="仿宋" w:eastAsia="仿宋" w:cs="仿宋"/>
          <w:color w:val="000000"/>
          <w:sz w:val="24"/>
        </w:rPr>
        <w:t>：一般公共预算财政拨款支出决算变动情况）</w:t>
      </w:r>
    </w:p>
    <w:p>
      <w:pPr>
        <w:ind w:firstLine="480" w:firstLineChars="200"/>
        <w:rPr>
          <w:rFonts w:ascii="仿宋" w:hAnsi="仿宋" w:eastAsia="仿宋"/>
          <w:color w:val="000000"/>
          <w:sz w:val="24"/>
        </w:rPr>
      </w:pPr>
      <w:r>
        <w:rPr>
          <w:rFonts w:ascii="仿宋" w:hAnsi="仿宋" w:eastAsia="仿宋"/>
          <w:color w:val="000000"/>
          <w:sz w:val="24"/>
        </w:rPr>
        <w:drawing>
          <wp:inline distT="0" distB="0" distL="0" distR="0">
            <wp:extent cx="4229100" cy="1762125"/>
            <wp:effectExtent l="0" t="0" r="0" b="0"/>
            <wp:docPr id="26" name="对象 2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spacing w:line="600" w:lineRule="exact"/>
        <w:ind w:firstLine="643" w:firstLineChars="200"/>
        <w:outlineLvl w:val="2"/>
        <w:rPr>
          <w:rFonts w:ascii="仿宋" w:hAnsi="仿宋" w:eastAsia="仿宋"/>
          <w:b/>
          <w:bCs/>
          <w:color w:val="000000"/>
          <w:sz w:val="32"/>
          <w:szCs w:val="32"/>
        </w:rPr>
      </w:pPr>
      <w:bookmarkStart w:id="29" w:name="_Toc15377211"/>
      <w:r>
        <w:rPr>
          <w:rFonts w:hint="eastAsia" w:ascii="仿宋" w:hAnsi="仿宋" w:eastAsia="仿宋" w:cs="仿宋"/>
          <w:b/>
          <w:bCs/>
          <w:color w:val="000000"/>
          <w:sz w:val="32"/>
          <w:szCs w:val="32"/>
        </w:rPr>
        <w:t>（二）一般公共预算财政拨款支出决算结构情况</w:t>
      </w:r>
      <w:bookmarkEnd w:id="29"/>
    </w:p>
    <w:p>
      <w:pPr>
        <w:spacing w:line="540" w:lineRule="exact"/>
        <w:ind w:firstLine="641"/>
        <w:rPr>
          <w:rFonts w:ascii="仿宋_GB2312" w:eastAsia="仿宋_GB2312"/>
          <w:sz w:val="32"/>
          <w:szCs w:val="32"/>
        </w:rPr>
      </w:pPr>
      <w:r>
        <w:rPr>
          <w:rFonts w:ascii="仿宋_GB2312" w:eastAsia="仿宋_GB2312" w:cs="仿宋_GB2312"/>
          <w:sz w:val="32"/>
          <w:szCs w:val="32"/>
        </w:rPr>
        <w:t>20</w:t>
      </w:r>
      <w:r>
        <w:rPr>
          <w:rFonts w:hint="eastAsia" w:ascii="仿宋_GB2312" w:eastAsia="仿宋_GB2312" w:cs="仿宋_GB2312"/>
          <w:sz w:val="32"/>
          <w:szCs w:val="32"/>
        </w:rPr>
        <w:t>20年一般公共预算财政拨款支出32282.50万元，主要用于以下方面</w:t>
      </w:r>
      <w:r>
        <w:rPr>
          <w:rFonts w:ascii="仿宋_GB2312" w:eastAsia="仿宋_GB2312" w:cs="仿宋_GB2312"/>
          <w:sz w:val="32"/>
          <w:szCs w:val="32"/>
        </w:rPr>
        <w:t>:</w:t>
      </w:r>
      <w:r>
        <w:rPr>
          <w:rFonts w:hint="eastAsia" w:ascii="仿宋_GB2312" w:eastAsia="仿宋_GB2312" w:cs="仿宋_GB2312"/>
          <w:sz w:val="32"/>
          <w:szCs w:val="32"/>
        </w:rPr>
        <w:t>社会保障和就业支出1558.71万元，占4.83</w:t>
      </w:r>
      <w:r>
        <w:rPr>
          <w:rFonts w:ascii="仿宋_GB2312" w:eastAsia="仿宋_GB2312" w:cs="仿宋_GB2312"/>
          <w:sz w:val="32"/>
          <w:szCs w:val="32"/>
        </w:rPr>
        <w:t>%</w:t>
      </w:r>
      <w:r>
        <w:rPr>
          <w:rFonts w:hint="eastAsia" w:ascii="仿宋_GB2312" w:eastAsia="仿宋_GB2312" w:cs="仿宋_GB2312"/>
          <w:sz w:val="32"/>
          <w:szCs w:val="32"/>
        </w:rPr>
        <w:t>；卫生健康支出353.97万元，占1.10</w:t>
      </w:r>
      <w:r>
        <w:rPr>
          <w:rFonts w:ascii="仿宋_GB2312" w:eastAsia="仿宋_GB2312" w:cs="仿宋_GB2312"/>
          <w:sz w:val="32"/>
          <w:szCs w:val="32"/>
        </w:rPr>
        <w:t>%</w:t>
      </w:r>
      <w:r>
        <w:rPr>
          <w:rFonts w:hint="eastAsia" w:ascii="仿宋_GB2312" w:eastAsia="仿宋_GB2312" w:cs="仿宋_GB2312"/>
          <w:sz w:val="32"/>
          <w:szCs w:val="32"/>
        </w:rPr>
        <w:t>；节能环保支出637.18万元，占1.97</w:t>
      </w:r>
      <w:r>
        <w:rPr>
          <w:rFonts w:ascii="仿宋_GB2312" w:eastAsia="仿宋_GB2312" w:cs="仿宋_GB2312"/>
          <w:sz w:val="32"/>
          <w:szCs w:val="32"/>
        </w:rPr>
        <w:t>%</w:t>
      </w:r>
      <w:r>
        <w:rPr>
          <w:rFonts w:hint="eastAsia" w:ascii="仿宋_GB2312" w:eastAsia="仿宋_GB2312" w:cs="仿宋_GB2312"/>
          <w:sz w:val="32"/>
          <w:szCs w:val="32"/>
        </w:rPr>
        <w:t>；城乡社区支出28512.59万元，占88.32</w:t>
      </w:r>
      <w:r>
        <w:rPr>
          <w:rFonts w:ascii="仿宋_GB2312" w:eastAsia="仿宋_GB2312" w:cs="仿宋_GB2312"/>
          <w:sz w:val="32"/>
          <w:szCs w:val="32"/>
        </w:rPr>
        <w:t>%</w:t>
      </w:r>
      <w:r>
        <w:rPr>
          <w:rFonts w:hint="eastAsia" w:ascii="仿宋_GB2312" w:eastAsia="仿宋_GB2312" w:cs="仿宋_GB2312"/>
          <w:sz w:val="32"/>
          <w:szCs w:val="32"/>
        </w:rPr>
        <w:t>；住房保障支出1080.25万元，占3.35</w:t>
      </w:r>
      <w:r>
        <w:rPr>
          <w:rFonts w:ascii="仿宋_GB2312" w:eastAsia="仿宋_GB2312" w:cs="仿宋_GB2312"/>
          <w:sz w:val="32"/>
          <w:szCs w:val="32"/>
        </w:rPr>
        <w:t>%</w:t>
      </w:r>
      <w:r>
        <w:rPr>
          <w:rFonts w:hint="eastAsia" w:ascii="仿宋_GB2312" w:eastAsia="仿宋_GB2312" w:cs="仿宋_GB2312"/>
          <w:sz w:val="32"/>
          <w:szCs w:val="32"/>
        </w:rPr>
        <w:t>;灾害防治及应急管理支出139.80万元，占0.43</w:t>
      </w:r>
      <w:r>
        <w:rPr>
          <w:rFonts w:ascii="仿宋_GB2312" w:eastAsia="仿宋_GB2312" w:cs="仿宋_GB2312"/>
          <w:sz w:val="32"/>
          <w:szCs w:val="32"/>
        </w:rPr>
        <w:t>%</w:t>
      </w:r>
      <w:r>
        <w:rPr>
          <w:rFonts w:hint="eastAsia" w:ascii="仿宋_GB2312" w:eastAsia="仿宋_GB2312" w:cs="仿宋_GB2312"/>
          <w:sz w:val="32"/>
          <w:szCs w:val="32"/>
        </w:rPr>
        <w:t>。</w:t>
      </w:r>
    </w:p>
    <w:p>
      <w:pPr>
        <w:spacing w:line="500" w:lineRule="exact"/>
        <w:ind w:firstLine="480" w:firstLineChars="200"/>
        <w:rPr>
          <w:rFonts w:ascii="仿宋" w:hAnsi="仿宋" w:eastAsia="仿宋"/>
          <w:color w:val="000000"/>
          <w:sz w:val="24"/>
        </w:rPr>
      </w:pPr>
      <w:r>
        <w:rPr>
          <w:rFonts w:hint="eastAsia" w:ascii="仿宋" w:hAnsi="仿宋" w:eastAsia="仿宋" w:cs="仿宋"/>
          <w:color w:val="000000"/>
          <w:sz w:val="24"/>
        </w:rPr>
        <w:t>（图</w:t>
      </w:r>
      <w:r>
        <w:rPr>
          <w:rFonts w:ascii="仿宋" w:hAnsi="仿宋" w:eastAsia="仿宋" w:cs="仿宋"/>
          <w:color w:val="000000"/>
          <w:sz w:val="24"/>
        </w:rPr>
        <w:t>6</w:t>
      </w:r>
      <w:r>
        <w:rPr>
          <w:rFonts w:hint="eastAsia" w:ascii="仿宋" w:hAnsi="仿宋" w:eastAsia="仿宋" w:cs="仿宋"/>
          <w:color w:val="000000"/>
          <w:sz w:val="24"/>
        </w:rPr>
        <w:t>：一般公共预算财政拨款支出决算结构）</w:t>
      </w:r>
    </w:p>
    <w:p>
      <w:pPr>
        <w:ind w:firstLine="640" w:firstLineChars="200"/>
        <w:rPr>
          <w:rFonts w:ascii="仿宋" w:hAnsi="仿宋" w:eastAsia="仿宋"/>
          <w:color w:val="000000"/>
          <w:sz w:val="32"/>
          <w:szCs w:val="32"/>
        </w:rPr>
      </w:pPr>
      <w:r>
        <w:rPr>
          <w:rFonts w:ascii="仿宋" w:hAnsi="仿宋" w:eastAsia="仿宋"/>
          <w:color w:val="000000"/>
          <w:sz w:val="32"/>
          <w:szCs w:val="32"/>
        </w:rPr>
        <w:drawing>
          <wp:inline distT="0" distB="0" distL="0" distR="0">
            <wp:extent cx="5274310" cy="3076575"/>
            <wp:effectExtent l="19050" t="0" r="21590" b="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spacing w:line="600" w:lineRule="exact"/>
        <w:ind w:firstLine="643" w:firstLineChars="200"/>
        <w:outlineLvl w:val="2"/>
        <w:rPr>
          <w:rFonts w:ascii="仿宋" w:hAnsi="仿宋" w:eastAsia="仿宋"/>
          <w:b/>
          <w:bCs/>
          <w:color w:val="000000"/>
          <w:sz w:val="32"/>
          <w:szCs w:val="32"/>
        </w:rPr>
      </w:pPr>
      <w:bookmarkStart w:id="30" w:name="_Toc15377212"/>
      <w:r>
        <w:rPr>
          <w:rFonts w:hint="eastAsia" w:ascii="仿宋" w:hAnsi="仿宋" w:eastAsia="仿宋" w:cs="仿宋"/>
          <w:b/>
          <w:bCs/>
          <w:color w:val="000000"/>
          <w:sz w:val="32"/>
          <w:szCs w:val="32"/>
        </w:rPr>
        <w:t>（三）一般公共预算财政拨款支出决算具体情况</w:t>
      </w:r>
      <w:bookmarkEnd w:id="30"/>
    </w:p>
    <w:p>
      <w:pPr>
        <w:spacing w:line="600" w:lineRule="exact"/>
        <w:ind w:firstLine="640" w:firstLineChars="200"/>
        <w:outlineLvl w:val="2"/>
        <w:rPr>
          <w:rFonts w:ascii="仿宋_GB2312" w:eastAsia="仿宋_GB2312"/>
          <w:sz w:val="32"/>
          <w:szCs w:val="32"/>
        </w:rPr>
      </w:pPr>
      <w:bookmarkStart w:id="31" w:name="_Toc15377213"/>
      <w:bookmarkStart w:id="32" w:name="_Toc15377444"/>
      <w:bookmarkStart w:id="33" w:name="_Toc15378460"/>
      <w:r>
        <w:rPr>
          <w:rFonts w:ascii="仿宋_GB2312" w:eastAsia="仿宋_GB2312" w:cs="仿宋_GB2312"/>
          <w:sz w:val="32"/>
          <w:szCs w:val="32"/>
        </w:rPr>
        <w:t>20</w:t>
      </w:r>
      <w:r>
        <w:rPr>
          <w:rFonts w:hint="eastAsia" w:ascii="仿宋_GB2312" w:eastAsia="仿宋_GB2312" w:cs="仿宋_GB2312"/>
          <w:sz w:val="32"/>
          <w:szCs w:val="32"/>
        </w:rPr>
        <w:t>20年般公共预算支出决算数为32282.50万元，完成预算数的100%。其中：</w:t>
      </w:r>
      <w:bookmarkEnd w:id="31"/>
      <w:bookmarkEnd w:id="32"/>
      <w:bookmarkEnd w:id="33"/>
    </w:p>
    <w:p>
      <w:pPr>
        <w:spacing w:line="600" w:lineRule="exact"/>
        <w:ind w:firstLine="640" w:firstLineChars="200"/>
        <w:rPr>
          <w:rFonts w:ascii="仿宋_GB2312" w:eastAsia="仿宋_GB2312" w:cs="仿宋_GB2312"/>
          <w:sz w:val="32"/>
          <w:szCs w:val="32"/>
        </w:rPr>
      </w:pPr>
      <w:r>
        <w:rPr>
          <w:rFonts w:ascii="仿宋_GB2312" w:eastAsia="仿宋_GB2312" w:cs="仿宋_GB2312"/>
          <w:sz w:val="32"/>
          <w:szCs w:val="32"/>
        </w:rPr>
        <w:t>1.</w:t>
      </w:r>
      <w:r>
        <w:rPr>
          <w:rFonts w:hint="eastAsia" w:ascii="仿宋_GB2312" w:eastAsia="仿宋_GB2312" w:cs="仿宋_GB2312"/>
          <w:sz w:val="32"/>
          <w:szCs w:val="32"/>
        </w:rPr>
        <w:t>一般公共服务类</w:t>
      </w:r>
      <w:r>
        <w:rPr>
          <w:rFonts w:ascii="仿宋_GB2312" w:eastAsia="仿宋_GB2312" w:cs="仿宋_GB2312"/>
          <w:sz w:val="32"/>
          <w:szCs w:val="32"/>
        </w:rPr>
        <w:t>,</w:t>
      </w:r>
      <w:r>
        <w:rPr>
          <w:rFonts w:hint="eastAsia" w:ascii="仿宋_GB2312" w:eastAsia="仿宋_GB2312" w:cs="仿宋_GB2312"/>
          <w:sz w:val="32"/>
          <w:szCs w:val="32"/>
        </w:rPr>
        <w:t xml:space="preserve"> 无。</w:t>
      </w:r>
    </w:p>
    <w:p>
      <w:pPr>
        <w:spacing w:line="600" w:lineRule="exact"/>
        <w:ind w:firstLine="640" w:firstLineChars="200"/>
        <w:rPr>
          <w:rFonts w:ascii="仿宋_GB2312" w:eastAsia="仿宋_GB2312"/>
          <w:sz w:val="32"/>
          <w:szCs w:val="32"/>
        </w:rPr>
      </w:pPr>
      <w:r>
        <w:rPr>
          <w:rFonts w:ascii="仿宋_GB2312" w:eastAsia="仿宋_GB2312" w:cs="仿宋_GB2312"/>
          <w:sz w:val="32"/>
          <w:szCs w:val="32"/>
        </w:rPr>
        <w:t>2.</w:t>
      </w:r>
      <w:r>
        <w:rPr>
          <w:rFonts w:hint="eastAsia" w:ascii="仿宋_GB2312" w:eastAsia="仿宋_GB2312" w:cs="仿宋_GB2312"/>
          <w:sz w:val="32"/>
          <w:szCs w:val="32"/>
        </w:rPr>
        <w:t>教育类，无。</w:t>
      </w:r>
    </w:p>
    <w:p>
      <w:pPr>
        <w:spacing w:line="600" w:lineRule="exact"/>
        <w:ind w:firstLine="640" w:firstLineChars="200"/>
        <w:rPr>
          <w:rFonts w:ascii="仿宋_GB2312" w:eastAsia="仿宋_GB2312"/>
          <w:sz w:val="32"/>
          <w:szCs w:val="32"/>
        </w:rPr>
      </w:pPr>
      <w:r>
        <w:rPr>
          <w:rFonts w:ascii="仿宋_GB2312" w:eastAsia="仿宋_GB2312" w:cs="仿宋_GB2312"/>
          <w:sz w:val="32"/>
          <w:szCs w:val="32"/>
        </w:rPr>
        <w:t>3.</w:t>
      </w:r>
      <w:r>
        <w:rPr>
          <w:rFonts w:hint="eastAsia" w:ascii="仿宋_GB2312" w:eastAsia="仿宋_GB2312" w:cs="仿宋_GB2312"/>
          <w:sz w:val="32"/>
          <w:szCs w:val="32"/>
        </w:rPr>
        <w:t>科学技术类，无。</w:t>
      </w:r>
    </w:p>
    <w:p>
      <w:pPr>
        <w:spacing w:line="600" w:lineRule="exact"/>
        <w:ind w:firstLine="640" w:firstLineChars="200"/>
        <w:rPr>
          <w:rFonts w:ascii="仿宋_GB2312" w:eastAsia="仿宋_GB2312"/>
          <w:sz w:val="32"/>
          <w:szCs w:val="32"/>
        </w:rPr>
      </w:pPr>
      <w:r>
        <w:rPr>
          <w:rFonts w:ascii="仿宋_GB2312" w:eastAsia="仿宋_GB2312" w:cs="仿宋_GB2312"/>
          <w:sz w:val="32"/>
          <w:szCs w:val="32"/>
        </w:rPr>
        <w:t>4.</w:t>
      </w:r>
      <w:r>
        <w:rPr>
          <w:rFonts w:hint="eastAsia" w:ascii="仿宋_GB2312" w:eastAsia="仿宋_GB2312" w:cs="仿宋_GB2312"/>
          <w:sz w:val="32"/>
          <w:szCs w:val="32"/>
        </w:rPr>
        <w:t>文化体育与传媒类，无。</w:t>
      </w:r>
    </w:p>
    <w:p>
      <w:pPr>
        <w:spacing w:line="600" w:lineRule="exact"/>
        <w:ind w:firstLine="640" w:firstLineChars="200"/>
        <w:rPr>
          <w:rFonts w:ascii="仿宋_GB2312" w:eastAsia="仿宋_GB2312"/>
          <w:sz w:val="32"/>
          <w:szCs w:val="32"/>
        </w:rPr>
      </w:pPr>
      <w:r>
        <w:rPr>
          <w:rFonts w:ascii="仿宋_GB2312" w:eastAsia="仿宋_GB2312" w:cs="仿宋_GB2312"/>
          <w:sz w:val="32"/>
          <w:szCs w:val="32"/>
        </w:rPr>
        <w:t>5.</w:t>
      </w:r>
      <w:r>
        <w:rPr>
          <w:rFonts w:hint="eastAsia" w:ascii="仿宋_GB2312" w:eastAsia="仿宋_GB2312" w:cs="仿宋_GB2312"/>
          <w:sz w:val="32"/>
          <w:szCs w:val="32"/>
        </w:rPr>
        <w:t>社会保障和就业类1558.71元，完成预算数的100%。其中行政单位离退休63.39万元，事业单位离退休325.19万元，机关事业单位基本养老保险缴费支出762.41万元，机关事业单位职业年金缴费支出382.09万元，其他社会保障和就业支出25.63万元。</w:t>
      </w:r>
    </w:p>
    <w:p>
      <w:pPr>
        <w:spacing w:line="600" w:lineRule="exact"/>
        <w:ind w:firstLine="640" w:firstLineChars="200"/>
        <w:rPr>
          <w:rFonts w:ascii="仿宋_GB2312" w:eastAsia="仿宋_GB2312"/>
          <w:sz w:val="32"/>
          <w:szCs w:val="32"/>
        </w:rPr>
      </w:pPr>
      <w:r>
        <w:rPr>
          <w:rFonts w:ascii="仿宋_GB2312" w:eastAsia="仿宋_GB2312" w:cs="仿宋_GB2312"/>
          <w:sz w:val="32"/>
          <w:szCs w:val="32"/>
        </w:rPr>
        <w:t>6.卫生健康支出</w:t>
      </w:r>
      <w:r>
        <w:rPr>
          <w:rFonts w:hint="eastAsia" w:ascii="仿宋_GB2312" w:eastAsia="仿宋_GB2312" w:cs="仿宋_GB2312"/>
          <w:sz w:val="32"/>
          <w:szCs w:val="32"/>
        </w:rPr>
        <w:t>类353.97万元，完成预算数的100%。其中行政单位医疗33.95万元，事业单位医疗303.38万元，其他卫生健康支出支出16.64万元。</w:t>
      </w:r>
    </w:p>
    <w:p>
      <w:pPr>
        <w:spacing w:line="600" w:lineRule="exact"/>
        <w:ind w:firstLine="640"/>
        <w:rPr>
          <w:rFonts w:ascii="仿宋_GB2312" w:eastAsia="仿宋_GB2312"/>
          <w:sz w:val="32"/>
          <w:szCs w:val="32"/>
        </w:rPr>
      </w:pPr>
      <w:r>
        <w:rPr>
          <w:rFonts w:ascii="仿宋_GB2312" w:eastAsia="仿宋_GB2312" w:cs="仿宋_GB2312"/>
          <w:sz w:val="32"/>
          <w:szCs w:val="32"/>
        </w:rPr>
        <w:t>7.</w:t>
      </w:r>
      <w:r>
        <w:rPr>
          <w:rFonts w:hint="eastAsia" w:ascii="仿宋_GB2312" w:eastAsia="仿宋_GB2312" w:cs="仿宋_GB2312"/>
          <w:sz w:val="32"/>
          <w:szCs w:val="32"/>
        </w:rPr>
        <w:t>节能环保类637.18万元，完成预算数的100%。其中污染防治188.06万元，能源节约利用61.62万元，其他节能环保支出387.50万元。</w:t>
      </w:r>
    </w:p>
    <w:p>
      <w:pPr>
        <w:spacing w:line="600" w:lineRule="exact"/>
        <w:ind w:firstLine="640"/>
        <w:rPr>
          <w:rFonts w:ascii="仿宋_GB2312" w:eastAsia="仿宋_GB2312"/>
          <w:sz w:val="32"/>
          <w:szCs w:val="32"/>
        </w:rPr>
      </w:pPr>
      <w:r>
        <w:rPr>
          <w:rFonts w:ascii="仿宋_GB2312" w:eastAsia="仿宋_GB2312" w:cs="仿宋_GB2312"/>
          <w:sz w:val="32"/>
          <w:szCs w:val="32"/>
        </w:rPr>
        <w:t>8.</w:t>
      </w:r>
      <w:r>
        <w:rPr>
          <w:rFonts w:hint="eastAsia" w:ascii="仿宋_GB2312" w:eastAsia="仿宋_GB2312" w:cs="仿宋_GB2312"/>
          <w:sz w:val="32"/>
          <w:szCs w:val="32"/>
        </w:rPr>
        <w:t>城乡社区类28512.59万元，完成预算数的100%。其中行政运行714.42万元，城管执法1362.36万元，其他城乡社区管理事务支出8379.74万元，其他城乡社区公共设施支出4252.67万元，城乡社区环境卫生支出13690.99万元，其他城乡社区支出112.41万元。</w:t>
      </w:r>
    </w:p>
    <w:p>
      <w:pPr>
        <w:spacing w:line="600" w:lineRule="exact"/>
        <w:ind w:firstLine="640"/>
        <w:rPr>
          <w:rFonts w:ascii="仿宋_GB2312" w:eastAsia="仿宋_GB2312" w:cs="仿宋_GB2312"/>
          <w:sz w:val="32"/>
          <w:szCs w:val="32"/>
        </w:rPr>
      </w:pPr>
      <w:r>
        <w:rPr>
          <w:rFonts w:ascii="仿宋_GB2312" w:eastAsia="仿宋_GB2312" w:cs="仿宋_GB2312"/>
          <w:sz w:val="32"/>
          <w:szCs w:val="32"/>
        </w:rPr>
        <w:t>9.</w:t>
      </w:r>
      <w:r>
        <w:rPr>
          <w:rFonts w:hint="eastAsia" w:ascii="仿宋_GB2312" w:eastAsia="仿宋_GB2312" w:cs="仿宋_GB2312"/>
          <w:sz w:val="32"/>
          <w:szCs w:val="32"/>
        </w:rPr>
        <w:t>住房保障类1080.25万元，完成预算数的100%。其中住房公积金支出1080.25万元。</w:t>
      </w:r>
    </w:p>
    <w:p>
      <w:pPr>
        <w:pStyle w:val="2"/>
        <w:ind w:leftChars="0" w:firstLine="579" w:firstLineChars="181"/>
      </w:pPr>
      <w:r>
        <w:rPr>
          <w:rFonts w:hint="eastAsia"/>
        </w:rPr>
        <w:t>10.灾害防治及应急管理类139.80万元，完成预算数的100%。其中自然灾害灾后重建补助139.80万元。</w:t>
      </w:r>
    </w:p>
    <w:p>
      <w:pPr>
        <w:tabs>
          <w:tab w:val="right" w:pos="8306"/>
        </w:tabs>
        <w:spacing w:line="600" w:lineRule="exact"/>
        <w:ind w:firstLine="640"/>
        <w:outlineLvl w:val="1"/>
        <w:rPr>
          <w:rFonts w:ascii="黑体" w:hAnsi="黑体" w:eastAsia="黑体"/>
          <w:bCs/>
          <w:color w:val="000000"/>
          <w:sz w:val="32"/>
          <w:szCs w:val="32"/>
        </w:rPr>
      </w:pPr>
      <w:bookmarkStart w:id="34" w:name="_Toc15396608"/>
      <w:bookmarkStart w:id="35" w:name="_Toc15377214"/>
      <w:r>
        <w:rPr>
          <w:rFonts w:hint="eastAsia" w:ascii="黑体" w:hAnsi="黑体" w:eastAsia="黑体" w:cs="仿宋"/>
          <w:bCs/>
          <w:color w:val="000000"/>
          <w:sz w:val="32"/>
          <w:szCs w:val="32"/>
        </w:rPr>
        <w:t>六、一般公共预算财政拨款基本支出决算情况说明</w:t>
      </w:r>
      <w:bookmarkEnd w:id="34"/>
      <w:bookmarkEnd w:id="35"/>
      <w:r>
        <w:rPr>
          <w:rFonts w:ascii="黑体" w:hAnsi="黑体" w:eastAsia="黑体"/>
          <w:bCs/>
          <w:color w:val="000000"/>
          <w:sz w:val="32"/>
          <w:szCs w:val="32"/>
        </w:rPr>
        <w:tab/>
      </w:r>
    </w:p>
    <w:p>
      <w:pPr>
        <w:spacing w:line="600" w:lineRule="exact"/>
        <w:ind w:firstLine="645"/>
        <w:rPr>
          <w:rFonts w:ascii="仿宋_GB2312" w:eastAsia="仿宋_GB2312"/>
          <w:sz w:val="32"/>
          <w:szCs w:val="32"/>
        </w:rPr>
      </w:pPr>
      <w:r>
        <w:rPr>
          <w:rFonts w:ascii="仿宋_GB2312" w:eastAsia="仿宋_GB2312" w:cs="仿宋_GB2312"/>
          <w:sz w:val="32"/>
          <w:szCs w:val="32"/>
        </w:rPr>
        <w:t>20</w:t>
      </w:r>
      <w:r>
        <w:rPr>
          <w:rFonts w:hint="eastAsia" w:ascii="仿宋_GB2312" w:eastAsia="仿宋_GB2312" w:cs="仿宋_GB2312"/>
          <w:sz w:val="32"/>
          <w:szCs w:val="32"/>
        </w:rPr>
        <w:t>20年一般公共预算财政拨款基本支出10305.77万元，其中：</w:t>
      </w:r>
    </w:p>
    <w:p>
      <w:pPr>
        <w:spacing w:line="600" w:lineRule="exact"/>
        <w:ind w:firstLine="645"/>
        <w:rPr>
          <w:rFonts w:ascii="仿宋_GB2312" w:eastAsia="仿宋_GB2312"/>
          <w:sz w:val="32"/>
          <w:szCs w:val="32"/>
        </w:rPr>
      </w:pPr>
      <w:r>
        <w:rPr>
          <w:rFonts w:hint="eastAsia" w:ascii="仿宋_GB2312" w:eastAsia="仿宋_GB2312" w:cs="仿宋_GB2312"/>
          <w:sz w:val="32"/>
          <w:szCs w:val="32"/>
        </w:rPr>
        <w:t>人员经费9247.13万元，主要包括：基本工资、津贴补贴、奖金、伙食补助费、绩效工资、机关事业单位基本养老保险缴费、职业年金缴费、其他社会保障缴费、其他工资福利支出、离休费、退休费、抚恤金、生活补助、医疗费、奖励金、住房公积金、提租补贴、购房补贴、其他对个人和家庭的补助支出等。</w:t>
      </w:r>
      <w:r>
        <w:rPr>
          <w:rFonts w:ascii="仿宋_GB2312" w:eastAsia="仿宋_GB2312"/>
          <w:sz w:val="32"/>
          <w:szCs w:val="32"/>
        </w:rPr>
        <w:br w:type="textWrapping"/>
      </w:r>
      <w:r>
        <w:rPr>
          <w:rFonts w:hint="eastAsia" w:ascii="仿宋_GB2312" w:eastAsia="仿宋_GB2312" w:cs="仿宋_GB2312"/>
          <w:sz w:val="32"/>
          <w:szCs w:val="32"/>
        </w:rPr>
        <w:t>　　公用经费1058.64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0"/>
        <w:outlineLvl w:val="1"/>
        <w:rPr>
          <w:rFonts w:ascii="黑体" w:hAnsi="黑体" w:eastAsia="黑体"/>
          <w:bCs/>
          <w:color w:val="000000"/>
          <w:sz w:val="32"/>
          <w:szCs w:val="32"/>
        </w:rPr>
      </w:pPr>
      <w:bookmarkStart w:id="36" w:name="_Toc15396609"/>
      <w:bookmarkStart w:id="37" w:name="_Toc15377215"/>
      <w:r>
        <w:rPr>
          <w:rFonts w:hint="eastAsia" w:ascii="黑体" w:hAnsi="黑体" w:eastAsia="黑体" w:cs="仿宋"/>
          <w:bCs/>
          <w:color w:val="000000"/>
          <w:sz w:val="32"/>
          <w:szCs w:val="32"/>
        </w:rPr>
        <w:t>七、“三公”经费财政拨款支出决算情况说明</w:t>
      </w:r>
      <w:bookmarkEnd w:id="36"/>
      <w:bookmarkEnd w:id="37"/>
    </w:p>
    <w:p>
      <w:pPr>
        <w:spacing w:line="600" w:lineRule="exact"/>
        <w:ind w:firstLine="640"/>
        <w:outlineLvl w:val="2"/>
        <w:rPr>
          <w:rFonts w:ascii="仿宋" w:hAnsi="仿宋" w:eastAsia="仿宋"/>
          <w:b/>
          <w:bCs/>
          <w:color w:val="000000"/>
          <w:sz w:val="32"/>
          <w:szCs w:val="32"/>
        </w:rPr>
      </w:pPr>
      <w:bookmarkStart w:id="38" w:name="_Toc15377216"/>
      <w:r>
        <w:rPr>
          <w:rFonts w:hint="eastAsia" w:ascii="仿宋" w:hAnsi="仿宋" w:eastAsia="仿宋" w:cs="仿宋"/>
          <w:b/>
          <w:bCs/>
          <w:color w:val="000000"/>
          <w:sz w:val="32"/>
          <w:szCs w:val="32"/>
        </w:rPr>
        <w:t>（一）“三公”经费财政拨款支出决算总体情况说明</w:t>
      </w:r>
      <w:bookmarkEnd w:id="38"/>
    </w:p>
    <w:p>
      <w:pPr>
        <w:spacing w:line="600" w:lineRule="exact"/>
        <w:ind w:firstLine="640" w:firstLineChars="200"/>
        <w:rPr>
          <w:rFonts w:ascii="仿宋_GB2312" w:eastAsia="仿宋_GB2312"/>
          <w:sz w:val="32"/>
          <w:szCs w:val="32"/>
        </w:rPr>
      </w:pPr>
      <w:r>
        <w:rPr>
          <w:rFonts w:ascii="仿宋_GB2312" w:eastAsia="仿宋_GB2312" w:cs="仿宋_GB2312"/>
          <w:sz w:val="32"/>
          <w:szCs w:val="32"/>
        </w:rPr>
        <w:t>20</w:t>
      </w:r>
      <w:r>
        <w:rPr>
          <w:rFonts w:hint="eastAsia" w:ascii="仿宋_GB2312" w:eastAsia="仿宋_GB2312" w:cs="仿宋_GB2312"/>
          <w:sz w:val="32"/>
          <w:szCs w:val="32"/>
        </w:rPr>
        <w:t>20年“三公”经费财政拨款支出决算为</w:t>
      </w:r>
      <w:r>
        <w:rPr>
          <w:rFonts w:hint="eastAsia" w:ascii="宋体" w:hAnsi="宋体" w:cs="仿宋"/>
          <w:sz w:val="30"/>
          <w:szCs w:val="30"/>
        </w:rPr>
        <w:t>129.72</w:t>
      </w:r>
      <w:r>
        <w:rPr>
          <w:rFonts w:hint="eastAsia" w:ascii="仿宋_GB2312" w:eastAsia="仿宋_GB2312" w:cs="仿宋_GB2312"/>
          <w:sz w:val="32"/>
          <w:szCs w:val="32"/>
        </w:rPr>
        <w:t>万元，完成预算81.76</w:t>
      </w:r>
      <w:r>
        <w:rPr>
          <w:rFonts w:ascii="仿宋_GB2312" w:eastAsia="仿宋_GB2312" w:cs="仿宋_GB2312"/>
          <w:sz w:val="32"/>
          <w:szCs w:val="32"/>
        </w:rPr>
        <w:t>%</w:t>
      </w:r>
      <w:r>
        <w:rPr>
          <w:rFonts w:hint="eastAsia" w:ascii="仿宋_GB2312" w:eastAsia="仿宋_GB2312" w:cs="仿宋_GB2312"/>
          <w:sz w:val="32"/>
          <w:szCs w:val="32"/>
        </w:rPr>
        <w:t>。</w:t>
      </w:r>
      <w:bookmarkStart w:id="39" w:name="OLE_LINK10"/>
      <w:r>
        <w:rPr>
          <w:rFonts w:hint="eastAsia" w:ascii="仿宋_GB2312" w:eastAsia="仿宋_GB2312" w:cs="仿宋_GB2312"/>
          <w:sz w:val="32"/>
          <w:szCs w:val="32"/>
        </w:rPr>
        <w:t>与</w:t>
      </w:r>
      <w:r>
        <w:rPr>
          <w:rFonts w:ascii="仿宋_GB2312" w:eastAsia="仿宋_GB2312" w:cs="仿宋_GB2312"/>
          <w:sz w:val="32"/>
          <w:szCs w:val="32"/>
        </w:rPr>
        <w:t>201</w:t>
      </w:r>
      <w:r>
        <w:rPr>
          <w:rFonts w:hint="eastAsia" w:ascii="仿宋_GB2312" w:eastAsia="仿宋_GB2312" w:cs="仿宋_GB2312"/>
          <w:sz w:val="32"/>
          <w:szCs w:val="32"/>
        </w:rPr>
        <w:t>9年相比，“三公”经费财政拨款支出增加13.49万元，增加11.61</w:t>
      </w:r>
      <w:r>
        <w:rPr>
          <w:rFonts w:ascii="仿宋_GB2312" w:eastAsia="仿宋_GB2312" w:cs="仿宋_GB2312"/>
          <w:sz w:val="32"/>
          <w:szCs w:val="32"/>
        </w:rPr>
        <w:t>%</w:t>
      </w:r>
      <w:r>
        <w:rPr>
          <w:rFonts w:hint="eastAsia" w:ascii="仿宋_GB2312" w:eastAsia="仿宋_GB2312" w:cs="仿宋_GB2312"/>
          <w:sz w:val="32"/>
          <w:szCs w:val="32"/>
        </w:rPr>
        <w:t>。主要变动原因公务车辆购置。</w:t>
      </w:r>
      <w:bookmarkEnd w:id="39"/>
    </w:p>
    <w:p>
      <w:pPr>
        <w:spacing w:line="600" w:lineRule="exact"/>
        <w:ind w:firstLine="640"/>
        <w:outlineLvl w:val="2"/>
        <w:rPr>
          <w:rFonts w:ascii="仿宋" w:hAnsi="仿宋" w:eastAsia="仿宋"/>
          <w:b/>
          <w:bCs/>
          <w:color w:val="000000"/>
          <w:sz w:val="32"/>
          <w:szCs w:val="32"/>
        </w:rPr>
      </w:pPr>
      <w:bookmarkStart w:id="40" w:name="_Toc15377217"/>
      <w:r>
        <w:rPr>
          <w:rFonts w:hint="eastAsia" w:ascii="仿宋" w:hAnsi="仿宋" w:eastAsia="仿宋" w:cs="仿宋"/>
          <w:b/>
          <w:bCs/>
          <w:color w:val="000000"/>
          <w:sz w:val="32"/>
          <w:szCs w:val="32"/>
        </w:rPr>
        <w:t>（二）“三公”经费财政拨款支出决算具体情况说明</w:t>
      </w:r>
      <w:bookmarkEnd w:id="40"/>
    </w:p>
    <w:p>
      <w:pPr>
        <w:spacing w:line="600" w:lineRule="exact"/>
        <w:ind w:firstLine="640"/>
        <w:rPr>
          <w:rFonts w:ascii="仿宋_GB2312" w:eastAsia="仿宋_GB2312"/>
          <w:sz w:val="32"/>
          <w:szCs w:val="32"/>
        </w:rPr>
      </w:pPr>
      <w:r>
        <w:rPr>
          <w:rFonts w:ascii="仿宋_GB2312" w:eastAsia="仿宋_GB2312" w:cs="仿宋_GB2312"/>
          <w:sz w:val="32"/>
          <w:szCs w:val="32"/>
        </w:rPr>
        <w:t>20</w:t>
      </w:r>
      <w:r>
        <w:rPr>
          <w:rFonts w:hint="eastAsia" w:ascii="仿宋_GB2312" w:eastAsia="仿宋_GB2312" w:cs="仿宋_GB2312"/>
          <w:sz w:val="32"/>
          <w:szCs w:val="32"/>
        </w:rPr>
        <w:t>20年“三公”经费财政拨款支出决算中，因公出国（境）费支出</w:t>
      </w:r>
      <w:r>
        <w:rPr>
          <w:rFonts w:hint="eastAsia" w:ascii="仿宋_GB2312" w:eastAsia="仿宋_GB2312" w:cs="仿宋_GB2312"/>
          <w:color w:val="000000" w:themeColor="text1"/>
          <w:sz w:val="32"/>
          <w:szCs w:val="32"/>
          <w14:textFill>
            <w14:solidFill>
              <w14:schemeClr w14:val="tx1"/>
            </w14:solidFill>
          </w14:textFill>
        </w:rPr>
        <w:t>决算0万元</w:t>
      </w:r>
      <w:r>
        <w:rPr>
          <w:rFonts w:hint="eastAsia" w:ascii="仿宋_GB2312" w:eastAsia="仿宋_GB2312" w:cs="仿宋_GB2312"/>
          <w:sz w:val="32"/>
          <w:szCs w:val="32"/>
        </w:rPr>
        <w:t>；公务用车购置及运行维护费支出决算128.65万元，占99.18</w:t>
      </w:r>
      <w:r>
        <w:rPr>
          <w:rFonts w:ascii="仿宋_GB2312" w:eastAsia="仿宋_GB2312" w:cs="仿宋_GB2312"/>
          <w:sz w:val="32"/>
          <w:szCs w:val="32"/>
        </w:rPr>
        <w:t>%</w:t>
      </w:r>
      <w:r>
        <w:rPr>
          <w:rFonts w:hint="eastAsia" w:ascii="仿宋_GB2312" w:eastAsia="仿宋_GB2312" w:cs="仿宋_GB2312"/>
          <w:sz w:val="32"/>
          <w:szCs w:val="32"/>
        </w:rPr>
        <w:t>；公务接待费支出决算1.07万元，占0.82</w:t>
      </w:r>
      <w:r>
        <w:rPr>
          <w:rFonts w:ascii="仿宋_GB2312" w:eastAsia="仿宋_GB2312" w:cs="仿宋_GB2312"/>
          <w:sz w:val="32"/>
          <w:szCs w:val="32"/>
        </w:rPr>
        <w:t>%</w:t>
      </w:r>
      <w:r>
        <w:rPr>
          <w:rFonts w:hint="eastAsia" w:ascii="仿宋_GB2312" w:eastAsia="仿宋_GB2312" w:cs="仿宋_GB2312"/>
          <w:sz w:val="32"/>
          <w:szCs w:val="32"/>
        </w:rPr>
        <w:t>。具体情况如下：</w:t>
      </w:r>
    </w:p>
    <w:p>
      <w:pPr>
        <w:spacing w:line="500" w:lineRule="exact"/>
        <w:ind w:firstLine="480" w:firstLineChars="200"/>
        <w:rPr>
          <w:rFonts w:ascii="仿宋" w:hAnsi="仿宋" w:eastAsia="仿宋"/>
          <w:color w:val="000000"/>
          <w:sz w:val="24"/>
        </w:rPr>
      </w:pPr>
      <w:r>
        <w:rPr>
          <w:rFonts w:hint="eastAsia" w:ascii="仿宋" w:hAnsi="仿宋" w:eastAsia="仿宋" w:cs="仿宋"/>
          <w:color w:val="000000"/>
          <w:sz w:val="24"/>
        </w:rPr>
        <w:t>（图</w:t>
      </w:r>
      <w:r>
        <w:rPr>
          <w:rFonts w:ascii="仿宋" w:hAnsi="仿宋" w:eastAsia="仿宋" w:cs="仿宋"/>
          <w:color w:val="000000"/>
          <w:sz w:val="24"/>
        </w:rPr>
        <w:t>8</w:t>
      </w:r>
      <w:r>
        <w:rPr>
          <w:rFonts w:hint="eastAsia" w:ascii="仿宋" w:hAnsi="仿宋" w:eastAsia="仿宋" w:cs="仿宋"/>
          <w:color w:val="000000"/>
          <w:sz w:val="24"/>
        </w:rPr>
        <w:t>：“三公”经费财政拨款支出结构）</w:t>
      </w:r>
    </w:p>
    <w:p>
      <w:pPr>
        <w:ind w:firstLine="641"/>
        <w:rPr>
          <w:rFonts w:ascii="仿宋" w:hAnsi="仿宋" w:eastAsia="仿宋"/>
          <w:color w:val="000000"/>
          <w:sz w:val="32"/>
          <w:szCs w:val="32"/>
        </w:rPr>
      </w:pPr>
      <w:r>
        <w:rPr>
          <w:rFonts w:ascii="仿宋" w:hAnsi="仿宋" w:eastAsia="仿宋"/>
          <w:color w:val="000000"/>
          <w:sz w:val="32"/>
          <w:szCs w:val="32"/>
        </w:rPr>
        <w:drawing>
          <wp:inline distT="0" distB="0" distL="0" distR="0">
            <wp:extent cx="5791200" cy="1866900"/>
            <wp:effectExtent l="0" t="0" r="0" b="0"/>
            <wp:docPr id="28" name="对象 2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spacing w:line="600" w:lineRule="exact"/>
        <w:ind w:firstLine="640"/>
        <w:rPr>
          <w:rFonts w:ascii="仿宋_GB2312" w:eastAsia="仿宋_GB2312" w:cs="仿宋_GB2312"/>
          <w:b/>
          <w:bCs/>
          <w:color w:val="000000"/>
          <w:sz w:val="32"/>
          <w:szCs w:val="32"/>
        </w:rPr>
      </w:pPr>
    </w:p>
    <w:p>
      <w:pPr>
        <w:spacing w:line="600" w:lineRule="exact"/>
        <w:ind w:firstLine="640"/>
        <w:rPr>
          <w:rFonts w:ascii="仿宋_GB2312" w:eastAsia="仿宋_GB2312"/>
          <w:b/>
          <w:bCs/>
          <w:color w:val="000000"/>
          <w:sz w:val="32"/>
          <w:szCs w:val="32"/>
        </w:rPr>
      </w:pPr>
      <w:r>
        <w:rPr>
          <w:rFonts w:ascii="仿宋_GB2312" w:eastAsia="仿宋_GB2312" w:cs="仿宋_GB2312"/>
          <w:b/>
          <w:bCs/>
          <w:color w:val="000000"/>
          <w:sz w:val="32"/>
          <w:szCs w:val="32"/>
        </w:rPr>
        <w:t>1.</w:t>
      </w:r>
      <w:r>
        <w:rPr>
          <w:rFonts w:hint="eastAsia" w:ascii="仿宋_GB2312" w:eastAsia="仿宋_GB2312" w:cs="仿宋_GB2312"/>
          <w:b/>
          <w:bCs/>
          <w:color w:val="000000"/>
          <w:sz w:val="32"/>
          <w:szCs w:val="32"/>
        </w:rPr>
        <w:t>因公出国（境）经费支出0</w:t>
      </w:r>
      <w:r>
        <w:rPr>
          <w:rFonts w:hint="eastAsia" w:ascii="仿宋_GB2312" w:eastAsia="仿宋_GB2312" w:cs="仿宋_GB2312"/>
          <w:color w:val="000000"/>
          <w:sz w:val="32"/>
          <w:szCs w:val="32"/>
        </w:rPr>
        <w:t>万元</w:t>
      </w:r>
      <w:r>
        <w:rPr>
          <w:rStyle w:val="17"/>
          <w:rFonts w:hint="eastAsia" w:ascii="仿宋" w:hAnsi="仿宋" w:eastAsia="仿宋" w:cs="仿宋"/>
          <w:color w:val="000000"/>
          <w:sz w:val="32"/>
          <w:szCs w:val="32"/>
        </w:rPr>
        <w:t>。</w:t>
      </w:r>
      <w:r>
        <w:rPr>
          <w:rFonts w:hint="eastAsia" w:ascii="仿宋_GB2312" w:eastAsia="仿宋_GB2312" w:cs="仿宋_GB2312"/>
          <w:color w:val="000000"/>
          <w:sz w:val="32"/>
          <w:szCs w:val="32"/>
        </w:rPr>
        <w:t>全年安排因公出国（境）团组0次，出国（境）0人。因公出国（境）支出决算与2019年持平。</w:t>
      </w:r>
    </w:p>
    <w:p>
      <w:pPr>
        <w:spacing w:line="600" w:lineRule="exact"/>
        <w:ind w:firstLine="640"/>
        <w:rPr>
          <w:rFonts w:ascii="仿宋_GB2312" w:eastAsia="仿宋_GB2312"/>
          <w:b/>
          <w:bCs/>
          <w:color w:val="000000"/>
          <w:sz w:val="32"/>
          <w:szCs w:val="32"/>
        </w:rPr>
      </w:pPr>
      <w:r>
        <w:rPr>
          <w:rFonts w:ascii="仿宋_GB2312" w:eastAsia="仿宋_GB2312" w:cs="仿宋_GB2312"/>
          <w:b/>
          <w:bCs/>
          <w:color w:val="000000"/>
          <w:sz w:val="32"/>
          <w:szCs w:val="32"/>
        </w:rPr>
        <w:t>2.</w:t>
      </w:r>
      <w:r>
        <w:rPr>
          <w:rFonts w:hint="eastAsia" w:ascii="仿宋_GB2312" w:eastAsia="仿宋_GB2312" w:cs="仿宋_GB2312"/>
          <w:b/>
          <w:bCs/>
          <w:color w:val="000000"/>
          <w:sz w:val="32"/>
          <w:szCs w:val="32"/>
        </w:rPr>
        <w:t>公务用车购置及运行维护费支出128.65</w:t>
      </w:r>
      <w:r>
        <w:rPr>
          <w:rFonts w:hint="eastAsia" w:ascii="仿宋_GB2312" w:eastAsia="仿宋_GB2312" w:cs="仿宋_GB2312"/>
          <w:color w:val="000000"/>
          <w:sz w:val="32"/>
          <w:szCs w:val="32"/>
        </w:rPr>
        <w:t>万元</w:t>
      </w:r>
      <w:r>
        <w:rPr>
          <w:rStyle w:val="17"/>
          <w:rFonts w:hint="eastAsia" w:ascii="仿宋" w:hAnsi="仿宋" w:eastAsia="仿宋" w:cs="仿宋"/>
          <w:color w:val="000000"/>
          <w:sz w:val="32"/>
          <w:szCs w:val="32"/>
        </w:rPr>
        <w:t>。</w:t>
      </w:r>
      <w:r>
        <w:rPr>
          <w:rFonts w:hint="eastAsia" w:ascii="仿宋_GB2312" w:eastAsia="仿宋_GB2312" w:cs="仿宋_GB2312"/>
          <w:color w:val="000000"/>
          <w:sz w:val="32"/>
          <w:szCs w:val="32"/>
        </w:rPr>
        <w:t>公务用车购置及运行维护费支出决算比</w:t>
      </w:r>
      <w:r>
        <w:rPr>
          <w:rFonts w:ascii="仿宋_GB2312" w:eastAsia="仿宋_GB2312" w:cs="仿宋_GB2312"/>
          <w:color w:val="000000"/>
          <w:sz w:val="32"/>
          <w:szCs w:val="32"/>
        </w:rPr>
        <w:t>201</w:t>
      </w:r>
      <w:r>
        <w:rPr>
          <w:rFonts w:hint="eastAsia" w:ascii="仿宋_GB2312" w:eastAsia="仿宋_GB2312" w:cs="仿宋_GB2312"/>
          <w:color w:val="000000"/>
          <w:sz w:val="32"/>
          <w:szCs w:val="32"/>
        </w:rPr>
        <w:t>9年增加13.37万元，增加11.60</w:t>
      </w:r>
      <w:r>
        <w:rPr>
          <w:rFonts w:ascii="仿宋_GB2312" w:eastAsia="仿宋_GB2312" w:cs="仿宋_GB2312"/>
          <w:color w:val="000000"/>
          <w:sz w:val="32"/>
          <w:szCs w:val="32"/>
        </w:rPr>
        <w:t>%</w:t>
      </w:r>
      <w:r>
        <w:rPr>
          <w:rFonts w:hint="eastAsia" w:ascii="仿宋_GB2312" w:eastAsia="仿宋_GB2312" w:cs="仿宋_GB2312"/>
          <w:color w:val="000000"/>
          <w:sz w:val="32"/>
          <w:szCs w:val="32"/>
        </w:rPr>
        <w:t>。主要原因是公务用车购置。</w:t>
      </w:r>
    </w:p>
    <w:p>
      <w:pPr>
        <w:spacing w:line="600" w:lineRule="exact"/>
        <w:ind w:firstLine="640" w:firstLineChars="200"/>
        <w:rPr>
          <w:rFonts w:ascii="仿宋_GB2312" w:eastAsia="仿宋_GB2312" w:cs="仿宋_GB2312"/>
          <w:color w:val="000000"/>
          <w:sz w:val="32"/>
          <w:szCs w:val="32"/>
        </w:rPr>
      </w:pPr>
      <w:r>
        <w:rPr>
          <w:rFonts w:hint="eastAsia" w:ascii="仿宋_GB2312" w:eastAsia="仿宋_GB2312" w:cs="仿宋_GB2312"/>
          <w:color w:val="000000"/>
          <w:sz w:val="32"/>
          <w:szCs w:val="32"/>
        </w:rPr>
        <w:t>其中：</w:t>
      </w:r>
      <w:r>
        <w:rPr>
          <w:rFonts w:hint="eastAsia" w:ascii="仿宋_GB2312" w:eastAsia="仿宋_GB2312" w:cs="仿宋_GB2312"/>
          <w:b/>
          <w:bCs/>
          <w:color w:val="000000"/>
          <w:sz w:val="32"/>
          <w:szCs w:val="32"/>
        </w:rPr>
        <w:t>公务用车购置支出16.96</w:t>
      </w:r>
      <w:r>
        <w:rPr>
          <w:rFonts w:hint="eastAsia" w:ascii="仿宋_GB2312" w:eastAsia="仿宋_GB2312" w:cs="仿宋_GB2312"/>
          <w:color w:val="000000"/>
          <w:sz w:val="32"/>
          <w:szCs w:val="32"/>
        </w:rPr>
        <w:t>万元。全年按规定更新购置公务用车2辆。截至</w:t>
      </w:r>
      <w:r>
        <w:rPr>
          <w:rFonts w:ascii="仿宋_GB2312" w:eastAsia="仿宋_GB2312" w:cs="仿宋_GB2312"/>
          <w:color w:val="000000"/>
          <w:sz w:val="32"/>
          <w:szCs w:val="32"/>
        </w:rPr>
        <w:t>2</w:t>
      </w:r>
      <w:r>
        <w:rPr>
          <w:rFonts w:hint="eastAsia" w:ascii="仿宋_GB2312" w:eastAsia="仿宋_GB2312" w:cs="仿宋_GB2312"/>
          <w:color w:val="000000"/>
          <w:sz w:val="32"/>
          <w:szCs w:val="32"/>
        </w:rPr>
        <w:t>020年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月底，单位共有公务用车260辆，其中：机要通信用车1辆，应急保障用车2辆，执法执勤用车80辆，特种专业技术用车141辆，其他用车36辆。</w:t>
      </w:r>
    </w:p>
    <w:p>
      <w:pPr>
        <w:spacing w:line="600" w:lineRule="exact"/>
        <w:ind w:firstLine="643" w:firstLineChars="200"/>
        <w:rPr>
          <w:rFonts w:ascii="仿宋_GB2312" w:eastAsia="仿宋_GB2312"/>
          <w:color w:val="000000"/>
          <w:sz w:val="32"/>
          <w:szCs w:val="32"/>
        </w:rPr>
      </w:pPr>
      <w:r>
        <w:rPr>
          <w:rFonts w:hint="eastAsia" w:ascii="仿宋_GB2312" w:eastAsia="仿宋_GB2312" w:cs="仿宋_GB2312"/>
          <w:b/>
          <w:bCs/>
          <w:color w:val="000000"/>
          <w:sz w:val="32"/>
          <w:szCs w:val="32"/>
        </w:rPr>
        <w:t>公务用车运行维护费支出111.69</w:t>
      </w:r>
      <w:r>
        <w:rPr>
          <w:rFonts w:hint="eastAsia" w:ascii="仿宋_GB2312" w:eastAsia="仿宋_GB2312" w:cs="仿宋_GB2312"/>
          <w:color w:val="000000"/>
          <w:sz w:val="32"/>
          <w:szCs w:val="32"/>
        </w:rPr>
        <w:t>万元。主要用于城市维护管理等所需的公务用车燃料费、维修费、过路过桥费、保险费等支出。公务</w:t>
      </w:r>
      <w:r>
        <w:rPr>
          <w:rFonts w:hint="eastAsia" w:ascii="仿宋_GB2312" w:eastAsia="仿宋_GB2312" w:cs="仿宋_GB2312"/>
          <w:bCs/>
          <w:color w:val="000000"/>
          <w:sz w:val="32"/>
          <w:szCs w:val="32"/>
        </w:rPr>
        <w:t>用车运行维护费支出</w:t>
      </w:r>
      <w:r>
        <w:rPr>
          <w:rFonts w:hint="eastAsia" w:ascii="仿宋_GB2312" w:eastAsia="仿宋_GB2312" w:cs="仿宋_GB2312"/>
          <w:color w:val="000000"/>
          <w:sz w:val="32"/>
          <w:szCs w:val="32"/>
        </w:rPr>
        <w:t>决算比</w:t>
      </w:r>
      <w:r>
        <w:rPr>
          <w:rFonts w:ascii="仿宋_GB2312" w:eastAsia="仿宋_GB2312" w:cs="仿宋_GB2312"/>
          <w:color w:val="000000"/>
          <w:sz w:val="32"/>
          <w:szCs w:val="32"/>
        </w:rPr>
        <w:t>20</w:t>
      </w:r>
      <w:r>
        <w:rPr>
          <w:rFonts w:hint="eastAsia" w:ascii="仿宋_GB2312" w:eastAsia="仿宋_GB2312" w:cs="仿宋_GB2312"/>
          <w:color w:val="000000"/>
          <w:sz w:val="32"/>
          <w:szCs w:val="32"/>
        </w:rPr>
        <w:t>19年减少3.59降3.11%，原因是精简节约。</w:t>
      </w:r>
    </w:p>
    <w:p>
      <w:pPr>
        <w:spacing w:line="600" w:lineRule="exact"/>
        <w:ind w:firstLine="640"/>
        <w:rPr>
          <w:rFonts w:ascii="仿宋_GB2312" w:eastAsia="仿宋_GB2312"/>
          <w:color w:val="000000"/>
          <w:sz w:val="32"/>
          <w:szCs w:val="32"/>
        </w:rPr>
      </w:pPr>
      <w:r>
        <w:rPr>
          <w:rFonts w:ascii="仿宋_GB2312" w:eastAsia="仿宋_GB2312" w:cs="仿宋_GB2312"/>
          <w:b/>
          <w:bCs/>
          <w:color w:val="000000"/>
          <w:sz w:val="32"/>
          <w:szCs w:val="32"/>
        </w:rPr>
        <w:t>3.</w:t>
      </w:r>
      <w:r>
        <w:rPr>
          <w:rFonts w:hint="eastAsia" w:ascii="仿宋_GB2312" w:eastAsia="仿宋_GB2312" w:cs="仿宋_GB2312"/>
          <w:b/>
          <w:bCs/>
          <w:color w:val="000000"/>
          <w:sz w:val="32"/>
          <w:szCs w:val="32"/>
        </w:rPr>
        <w:t>公务接待费支出1.07</w:t>
      </w:r>
      <w:r>
        <w:rPr>
          <w:rFonts w:hint="eastAsia" w:ascii="仿宋_GB2312" w:eastAsia="仿宋_GB2312" w:cs="仿宋_GB2312"/>
          <w:color w:val="000000"/>
          <w:sz w:val="32"/>
          <w:szCs w:val="32"/>
        </w:rPr>
        <w:t>万元</w:t>
      </w:r>
      <w:r>
        <w:rPr>
          <w:rStyle w:val="17"/>
          <w:rFonts w:hint="eastAsia" w:ascii="仿宋" w:hAnsi="仿宋" w:eastAsia="仿宋" w:cs="仿宋"/>
          <w:color w:val="000000"/>
          <w:sz w:val="32"/>
          <w:szCs w:val="32"/>
        </w:rPr>
        <w:t>。</w:t>
      </w:r>
      <w:r>
        <w:rPr>
          <w:rFonts w:hint="eastAsia" w:ascii="仿宋_GB2312" w:eastAsia="仿宋_GB2312" w:cs="仿宋_GB2312"/>
          <w:color w:val="000000"/>
          <w:sz w:val="32"/>
          <w:szCs w:val="32"/>
        </w:rPr>
        <w:t>公务接待费支出决算比</w:t>
      </w:r>
      <w:r>
        <w:rPr>
          <w:rFonts w:ascii="仿宋_GB2312" w:eastAsia="仿宋_GB2312" w:cs="仿宋_GB2312"/>
          <w:color w:val="000000"/>
          <w:sz w:val="32"/>
          <w:szCs w:val="32"/>
        </w:rPr>
        <w:t>201</w:t>
      </w:r>
      <w:r>
        <w:rPr>
          <w:rFonts w:hint="eastAsia" w:ascii="仿宋_GB2312" w:eastAsia="仿宋_GB2312" w:cs="仿宋_GB2312"/>
          <w:color w:val="000000"/>
          <w:sz w:val="32"/>
          <w:szCs w:val="32"/>
        </w:rPr>
        <w:t>9年减少0.12万元，增加12.63</w:t>
      </w:r>
      <w:r>
        <w:rPr>
          <w:rFonts w:ascii="仿宋_GB2312" w:eastAsia="仿宋_GB2312" w:cs="仿宋_GB2312"/>
          <w:color w:val="000000"/>
          <w:sz w:val="32"/>
          <w:szCs w:val="32"/>
        </w:rPr>
        <w:t>%</w:t>
      </w:r>
      <w:r>
        <w:rPr>
          <w:rFonts w:hint="eastAsia" w:ascii="仿宋_GB2312" w:eastAsia="仿宋_GB2312" w:cs="仿宋_GB2312"/>
          <w:color w:val="000000"/>
          <w:sz w:val="32"/>
          <w:szCs w:val="32"/>
        </w:rPr>
        <w:t>。主要原因是垃圾分类等接待增加。</w:t>
      </w:r>
    </w:p>
    <w:p>
      <w:pPr>
        <w:spacing w:line="6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主要用于执行公务、开展业务活动开支的交通费、住宿费、用餐费等。国内公务接待12批次，</w:t>
      </w:r>
      <w:r>
        <w:rPr>
          <w:rFonts w:ascii="仿宋_GB2312" w:eastAsia="仿宋_GB2312" w:cs="仿宋_GB2312"/>
          <w:color w:val="000000"/>
          <w:sz w:val="32"/>
          <w:szCs w:val="32"/>
        </w:rPr>
        <w:t>1</w:t>
      </w:r>
      <w:r>
        <w:rPr>
          <w:rFonts w:hint="eastAsia" w:ascii="仿宋_GB2312" w:eastAsia="仿宋_GB2312" w:cs="仿宋_GB2312"/>
          <w:color w:val="000000"/>
          <w:sz w:val="32"/>
          <w:szCs w:val="32"/>
        </w:rPr>
        <w:t>32人次（包括陪同人员），共计支出1.07万元，主要是公务接待的餐费。</w:t>
      </w:r>
    </w:p>
    <w:p>
      <w:pPr>
        <w:spacing w:line="600" w:lineRule="exact"/>
        <w:ind w:firstLine="643" w:firstLineChars="200"/>
        <w:rPr>
          <w:rFonts w:ascii="仿宋_GB2312" w:eastAsia="仿宋_GB2312"/>
          <w:color w:val="000000"/>
          <w:sz w:val="32"/>
          <w:szCs w:val="32"/>
        </w:rPr>
      </w:pPr>
      <w:r>
        <w:rPr>
          <w:rFonts w:hint="eastAsia" w:ascii="仿宋" w:hAnsi="仿宋" w:eastAsia="仿宋" w:cs="仿宋"/>
          <w:b/>
          <w:bCs/>
          <w:color w:val="000000"/>
          <w:sz w:val="32"/>
          <w:szCs w:val="32"/>
        </w:rPr>
        <w:t>外事接待支出</w:t>
      </w:r>
      <w:r>
        <w:rPr>
          <w:rFonts w:ascii="仿宋" w:hAnsi="仿宋" w:eastAsia="仿宋" w:cs="仿宋"/>
          <w:b/>
          <w:bCs/>
          <w:color w:val="000000"/>
          <w:sz w:val="32"/>
          <w:szCs w:val="32"/>
        </w:rPr>
        <w:t>0</w:t>
      </w:r>
      <w:r>
        <w:rPr>
          <w:rFonts w:hint="eastAsia" w:ascii="仿宋_GB2312" w:eastAsia="仿宋_GB2312" w:cs="仿宋_GB2312"/>
          <w:color w:val="000000"/>
          <w:sz w:val="32"/>
          <w:szCs w:val="32"/>
        </w:rPr>
        <w:t>万元，外事接待</w:t>
      </w:r>
      <w:r>
        <w:rPr>
          <w:rFonts w:ascii="仿宋_GB2312" w:eastAsia="仿宋_GB2312" w:cs="仿宋_GB2312"/>
          <w:color w:val="000000"/>
          <w:sz w:val="32"/>
          <w:szCs w:val="32"/>
        </w:rPr>
        <w:t>0</w:t>
      </w:r>
      <w:r>
        <w:rPr>
          <w:rFonts w:hint="eastAsia" w:ascii="仿宋_GB2312" w:eastAsia="仿宋_GB2312" w:cs="仿宋_GB2312"/>
          <w:color w:val="000000"/>
          <w:sz w:val="32"/>
          <w:szCs w:val="32"/>
        </w:rPr>
        <w:t>批次，</w:t>
      </w:r>
      <w:r>
        <w:rPr>
          <w:rFonts w:ascii="仿宋_GB2312" w:eastAsia="仿宋_GB2312" w:cs="仿宋_GB2312"/>
          <w:color w:val="000000"/>
          <w:sz w:val="32"/>
          <w:szCs w:val="32"/>
        </w:rPr>
        <w:t>0</w:t>
      </w:r>
      <w:r>
        <w:rPr>
          <w:rFonts w:hint="eastAsia" w:ascii="仿宋_GB2312" w:eastAsia="仿宋_GB2312" w:cs="仿宋_GB2312"/>
          <w:color w:val="000000"/>
          <w:sz w:val="32"/>
          <w:szCs w:val="32"/>
        </w:rPr>
        <w:t>人，共计支出</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w:t>
      </w:r>
    </w:p>
    <w:p>
      <w:pPr>
        <w:spacing w:line="600" w:lineRule="exact"/>
        <w:ind w:firstLine="643" w:firstLineChars="200"/>
        <w:rPr>
          <w:rFonts w:ascii="黑体" w:eastAsia="黑体"/>
          <w:color w:val="000000"/>
          <w:sz w:val="32"/>
          <w:szCs w:val="32"/>
        </w:rPr>
      </w:pPr>
      <w:r>
        <w:rPr>
          <w:rFonts w:hint="eastAsia" w:ascii="仿宋" w:hAnsi="仿宋" w:eastAsia="仿宋" w:cs="仿宋"/>
          <w:b/>
          <w:bCs/>
          <w:color w:val="000000"/>
          <w:sz w:val="32"/>
          <w:szCs w:val="32"/>
        </w:rPr>
        <w:t>其他国内公务接待支出</w:t>
      </w:r>
      <w:r>
        <w:rPr>
          <w:rFonts w:hint="eastAsia" w:ascii="仿宋_GB2312" w:eastAsia="仿宋_GB2312" w:cs="仿宋_GB2312"/>
          <w:b/>
          <w:bCs/>
          <w:color w:val="000000"/>
          <w:sz w:val="32"/>
          <w:szCs w:val="32"/>
        </w:rPr>
        <w:t>1.07</w:t>
      </w:r>
      <w:r>
        <w:rPr>
          <w:rFonts w:hint="eastAsia" w:ascii="仿宋" w:hAnsi="仿宋" w:eastAsia="仿宋" w:cs="仿宋"/>
          <w:b/>
          <w:bCs/>
          <w:color w:val="000000"/>
          <w:sz w:val="32"/>
          <w:szCs w:val="32"/>
        </w:rPr>
        <w:t>万元</w:t>
      </w:r>
      <w:bookmarkStart w:id="41" w:name="_Toc15396610"/>
      <w:bookmarkStart w:id="42" w:name="_Toc15377218"/>
      <w:r>
        <w:rPr>
          <w:rFonts w:hint="eastAsia" w:ascii="仿宋" w:hAnsi="仿宋" w:eastAsia="仿宋" w:cs="仿宋"/>
          <w:b/>
          <w:bCs/>
          <w:color w:val="000000"/>
          <w:sz w:val="32"/>
          <w:szCs w:val="32"/>
        </w:rPr>
        <w:t>。</w:t>
      </w:r>
    </w:p>
    <w:p>
      <w:pPr>
        <w:spacing w:line="600" w:lineRule="exact"/>
        <w:ind w:firstLine="640"/>
        <w:outlineLvl w:val="1"/>
        <w:rPr>
          <w:rFonts w:ascii="黑体" w:hAnsi="黑体" w:eastAsia="黑体"/>
          <w:bCs/>
          <w:sz w:val="32"/>
          <w:szCs w:val="32"/>
        </w:rPr>
      </w:pPr>
      <w:r>
        <w:rPr>
          <w:rFonts w:hint="eastAsia" w:ascii="黑体" w:hAnsi="黑体" w:eastAsia="黑体" w:cs="仿宋"/>
          <w:bCs/>
          <w:sz w:val="32"/>
          <w:szCs w:val="32"/>
        </w:rPr>
        <w:t>八、政府性基金预算支出决算情况说明</w:t>
      </w:r>
      <w:bookmarkEnd w:id="41"/>
      <w:bookmarkEnd w:id="42"/>
    </w:p>
    <w:p>
      <w:pPr>
        <w:spacing w:line="600" w:lineRule="exact"/>
        <w:ind w:firstLine="640"/>
        <w:rPr>
          <w:rFonts w:ascii="仿宋_GB2312" w:eastAsia="仿宋_GB2312"/>
          <w:color w:val="000000"/>
          <w:sz w:val="32"/>
          <w:szCs w:val="32"/>
        </w:rPr>
      </w:pPr>
      <w:r>
        <w:rPr>
          <w:rFonts w:ascii="仿宋_GB2312" w:eastAsia="仿宋_GB2312" w:cs="仿宋_GB2312"/>
          <w:color w:val="000000"/>
          <w:sz w:val="32"/>
          <w:szCs w:val="32"/>
        </w:rPr>
        <w:t>20</w:t>
      </w:r>
      <w:r>
        <w:rPr>
          <w:rFonts w:hint="eastAsia" w:ascii="仿宋_GB2312" w:eastAsia="仿宋_GB2312" w:cs="仿宋_GB2312"/>
          <w:color w:val="000000"/>
          <w:sz w:val="32"/>
          <w:szCs w:val="32"/>
        </w:rPr>
        <w:t>20年政府性基金预算拨款支出8.99万元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全部为项目支出</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其中城市建设支出8.99万元。</w:t>
      </w:r>
    </w:p>
    <w:p>
      <w:pPr>
        <w:numPr>
          <w:ilvl w:val="0"/>
          <w:numId w:val="3"/>
        </w:numPr>
        <w:spacing w:line="600" w:lineRule="exact"/>
        <w:ind w:firstLine="640"/>
        <w:outlineLvl w:val="1"/>
        <w:rPr>
          <w:rFonts w:ascii="黑体" w:hAnsi="黑体" w:eastAsia="黑体"/>
          <w:bCs/>
          <w:sz w:val="32"/>
          <w:szCs w:val="32"/>
        </w:rPr>
      </w:pPr>
      <w:bookmarkStart w:id="43" w:name="_Toc15377219"/>
      <w:bookmarkStart w:id="44" w:name="_Toc15396611"/>
      <w:r>
        <w:rPr>
          <w:rFonts w:hint="eastAsia" w:ascii="黑体" w:hAnsi="黑体" w:eastAsia="黑体" w:cs="仿宋"/>
          <w:bCs/>
          <w:sz w:val="32"/>
          <w:szCs w:val="32"/>
        </w:rPr>
        <w:t>国有资本经营预算支出决算情况说明</w:t>
      </w:r>
      <w:bookmarkEnd w:id="43"/>
      <w:bookmarkEnd w:id="44"/>
    </w:p>
    <w:p>
      <w:pPr>
        <w:spacing w:line="600" w:lineRule="exact"/>
        <w:ind w:firstLine="640" w:firstLineChars="200"/>
        <w:rPr>
          <w:rFonts w:ascii="仿宋_GB2312" w:eastAsia="仿宋_GB2312" w:cs="仿宋_GB2312"/>
          <w:color w:val="000000"/>
          <w:sz w:val="32"/>
          <w:szCs w:val="32"/>
        </w:rPr>
      </w:pPr>
      <w:r>
        <w:rPr>
          <w:rFonts w:hint="eastAsia" w:ascii="仿宋_GB2312" w:eastAsia="仿宋_GB2312" w:cs="仿宋_GB2312"/>
          <w:color w:val="000000"/>
          <w:sz w:val="32"/>
          <w:szCs w:val="32"/>
        </w:rPr>
        <w:t>本单位不涉及国有资本经营预算支出。</w:t>
      </w:r>
    </w:p>
    <w:p>
      <w:pPr>
        <w:spacing w:line="600" w:lineRule="exact"/>
        <w:ind w:firstLine="640" w:firstLineChars="200"/>
        <w:outlineLvl w:val="1"/>
        <w:rPr>
          <w:rStyle w:val="24"/>
          <w:rFonts w:ascii="黑体" w:hAnsi="黑体" w:eastAsia="黑体"/>
          <w:b w:val="0"/>
        </w:rPr>
      </w:pPr>
      <w:bookmarkStart w:id="45" w:name="_Toc15377221"/>
      <w:bookmarkStart w:id="46" w:name="_Toc15396612"/>
      <w:r>
        <w:rPr>
          <w:rFonts w:hint="eastAsia" w:ascii="黑体" w:hAnsi="黑体" w:eastAsia="黑体"/>
          <w:color w:val="000000"/>
          <w:sz w:val="32"/>
          <w:szCs w:val="32"/>
        </w:rPr>
        <w:t>十</w:t>
      </w:r>
      <w:r>
        <w:rPr>
          <w:rStyle w:val="24"/>
          <w:rFonts w:hint="eastAsia" w:ascii="黑体" w:hAnsi="黑体" w:eastAsia="黑体"/>
          <w:b w:val="0"/>
        </w:rPr>
        <w:t>、其他重要事项的情况说明</w:t>
      </w:r>
      <w:bookmarkEnd w:id="45"/>
      <w:bookmarkEnd w:id="46"/>
    </w:p>
    <w:p>
      <w:pPr>
        <w:spacing w:line="600" w:lineRule="exact"/>
        <w:ind w:firstLine="643" w:firstLineChars="200"/>
        <w:outlineLvl w:val="2"/>
        <w:rPr>
          <w:rFonts w:ascii="仿宋" w:hAnsi="仿宋" w:eastAsia="仿宋"/>
          <w:color w:val="000000"/>
          <w:sz w:val="32"/>
          <w:szCs w:val="32"/>
        </w:rPr>
      </w:pPr>
      <w:bookmarkStart w:id="47" w:name="_Toc15377222"/>
      <w:r>
        <w:rPr>
          <w:rFonts w:hint="eastAsia" w:ascii="仿宋" w:hAnsi="仿宋" w:eastAsia="仿宋"/>
          <w:b/>
          <w:color w:val="000000"/>
          <w:sz w:val="32"/>
          <w:szCs w:val="32"/>
        </w:rPr>
        <w:t>（一）机关运行经费支出情况</w:t>
      </w:r>
      <w:bookmarkEnd w:id="47"/>
    </w:p>
    <w:p>
      <w:pPr>
        <w:spacing w:line="600" w:lineRule="exact"/>
        <w:ind w:firstLine="640" w:firstLineChars="200"/>
        <w:rPr>
          <w:rFonts w:ascii="仿宋_GB2312" w:eastAsia="仿宋_GB2312"/>
          <w:color w:val="000000" w:themeColor="text1"/>
          <w:sz w:val="32"/>
          <w:szCs w:val="32"/>
          <w14:textFill>
            <w14:solidFill>
              <w14:schemeClr w14:val="tx1"/>
            </w14:solidFill>
          </w14:textFill>
        </w:rPr>
      </w:pPr>
      <w:r>
        <w:rPr>
          <w:rFonts w:ascii="仿宋_GB2312" w:eastAsia="仿宋_GB2312"/>
          <w:color w:val="000000"/>
          <w:sz w:val="32"/>
          <w:szCs w:val="32"/>
        </w:rPr>
        <w:t>20</w:t>
      </w:r>
      <w:r>
        <w:rPr>
          <w:rFonts w:hint="eastAsia" w:ascii="仿宋_GB2312" w:eastAsia="仿宋_GB2312"/>
          <w:color w:val="000000"/>
          <w:sz w:val="32"/>
          <w:szCs w:val="32"/>
        </w:rPr>
        <w:t>20年，</w:t>
      </w:r>
      <w:r>
        <w:rPr>
          <w:rFonts w:hint="eastAsia" w:ascii="仿宋_GB2312" w:eastAsia="仿宋_GB2312" w:cs="仿宋_GB2312"/>
          <w:sz w:val="32"/>
          <w:szCs w:val="32"/>
        </w:rPr>
        <w:t>德阳市城市管理行政执法局机关</w:t>
      </w:r>
      <w:r>
        <w:rPr>
          <w:rFonts w:hint="eastAsia" w:ascii="仿宋_GB2312" w:eastAsia="仿宋_GB2312"/>
          <w:color w:val="000000"/>
          <w:sz w:val="32"/>
          <w:szCs w:val="32"/>
        </w:rPr>
        <w:t>运行经费支出609.35万元，比</w:t>
      </w:r>
      <w:r>
        <w:rPr>
          <w:rFonts w:ascii="仿宋_GB2312" w:eastAsia="仿宋_GB2312"/>
          <w:color w:val="000000"/>
          <w:sz w:val="32"/>
          <w:szCs w:val="32"/>
        </w:rPr>
        <w:t>201</w:t>
      </w:r>
      <w:r>
        <w:rPr>
          <w:rFonts w:hint="eastAsia" w:ascii="仿宋_GB2312" w:eastAsia="仿宋_GB2312"/>
          <w:color w:val="000000"/>
          <w:sz w:val="32"/>
          <w:szCs w:val="32"/>
        </w:rPr>
        <w:t>9年减少78.23万元，减少11.38</w:t>
      </w:r>
      <w:r>
        <w:rPr>
          <w:rFonts w:ascii="仿宋_GB2312" w:eastAsia="仿宋_GB2312"/>
          <w:color w:val="000000"/>
          <w:sz w:val="32"/>
          <w:szCs w:val="32"/>
        </w:rPr>
        <w:t>%</w:t>
      </w:r>
      <w:r>
        <w:rPr>
          <w:rFonts w:hint="eastAsia" w:ascii="仿宋_GB2312" w:eastAsia="仿宋_GB2312"/>
          <w:color w:val="000000"/>
          <w:sz w:val="32"/>
          <w:szCs w:val="32"/>
        </w:rPr>
        <w:t>。</w:t>
      </w:r>
      <w:r>
        <w:rPr>
          <w:rFonts w:hint="eastAsia" w:ascii="仿宋_GB2312" w:eastAsia="仿宋_GB2312"/>
          <w:color w:val="000000" w:themeColor="text1"/>
          <w:sz w:val="32"/>
          <w:szCs w:val="32"/>
          <w14:textFill>
            <w14:solidFill>
              <w14:schemeClr w14:val="tx1"/>
            </w14:solidFill>
          </w14:textFill>
        </w:rPr>
        <w:t>主要原因是</w:t>
      </w:r>
      <w:r>
        <w:rPr>
          <w:rFonts w:hint="eastAsia" w:ascii="仿宋_GB2312" w:eastAsia="仿宋_GB2312" w:cs="仿宋_GB2312"/>
          <w:color w:val="000000"/>
          <w:sz w:val="32"/>
          <w:szCs w:val="32"/>
        </w:rPr>
        <w:t>精简节约、减少机关运行经费</w:t>
      </w:r>
      <w:r>
        <w:rPr>
          <w:rFonts w:hint="eastAsia" w:ascii="仿宋_GB2312" w:eastAsia="仿宋_GB2312"/>
          <w:color w:val="000000" w:themeColor="text1"/>
          <w:sz w:val="32"/>
          <w:szCs w:val="32"/>
          <w14:textFill>
            <w14:solidFill>
              <w14:schemeClr w14:val="tx1"/>
            </w14:solidFill>
          </w14:textFill>
        </w:rPr>
        <w:t>。</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48" w:name="_Toc15377223"/>
      <w:r>
        <w:rPr>
          <w:rFonts w:hint="eastAsia" w:ascii="仿宋" w:hAnsi="仿宋" w:eastAsia="仿宋"/>
          <w:b/>
          <w:color w:val="000000"/>
          <w:sz w:val="32"/>
          <w:szCs w:val="32"/>
        </w:rPr>
        <w:t>（二）政府采购支出情况</w:t>
      </w:r>
      <w:bookmarkEnd w:id="48"/>
    </w:p>
    <w:p>
      <w:pPr>
        <w:spacing w:line="60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2020年，</w:t>
      </w:r>
      <w:r>
        <w:rPr>
          <w:rFonts w:hint="eastAsia" w:ascii="仿宋_GB2312" w:eastAsia="仿宋_GB2312" w:cs="仿宋_GB2312"/>
          <w:sz w:val="32"/>
          <w:szCs w:val="32"/>
        </w:rPr>
        <w:t>德阳市城市管理行政执法局</w:t>
      </w:r>
      <w:r>
        <w:rPr>
          <w:rFonts w:hint="eastAsia" w:ascii="仿宋_GB2312" w:eastAsia="仿宋_GB2312"/>
          <w:color w:val="000000"/>
          <w:sz w:val="32"/>
          <w:szCs w:val="32"/>
        </w:rPr>
        <w:t>政府采购支出总额4722.55万元，其中：政府采购货物支出1574.25万元、政府采购工程支出181.98万元、政府采购服务支出2966.32万元。</w:t>
      </w:r>
      <w:r>
        <w:rPr>
          <w:rFonts w:hint="eastAsia" w:ascii="仿宋_GB2312" w:eastAsia="仿宋_GB2312"/>
          <w:color w:val="000000" w:themeColor="text1"/>
          <w:sz w:val="32"/>
          <w:szCs w:val="32"/>
          <w14:textFill>
            <w14:solidFill>
              <w14:schemeClr w14:val="tx1"/>
            </w14:solidFill>
          </w14:textFill>
        </w:rPr>
        <w:t>主要用于城北城际站前广场卫生清扫、保洁政府购买服务，城北城际站前广场绿化管理维护政府购买服务，城北城际站前广场设备设施维修政府购买服务等。授予中小企业合同金额3513.73万元，占政府采购支出总额的74.40</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，其中</w:t>
      </w:r>
      <w:r>
        <w:rPr>
          <w:rFonts w:hint="eastAsia" w:ascii="仿宋_GB2312" w:eastAsia="仿宋_GB2312"/>
          <w:color w:val="000000"/>
          <w:sz w:val="32"/>
          <w:szCs w:val="32"/>
        </w:rPr>
        <w:t>：授予小微企业合同金额51.85万元，</w:t>
      </w:r>
      <w:r>
        <w:rPr>
          <w:rFonts w:hint="eastAsia" w:ascii="仿宋_GB2312" w:eastAsia="仿宋_GB2312"/>
          <w:color w:val="000000" w:themeColor="text1"/>
          <w:sz w:val="32"/>
          <w:szCs w:val="32"/>
          <w14:textFill>
            <w14:solidFill>
              <w14:schemeClr w14:val="tx1"/>
            </w14:solidFill>
          </w14:textFill>
        </w:rPr>
        <w:t>占政府采购支出总额的1.10</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sz w:val="32"/>
          <w:szCs w:val="32"/>
        </w:rPr>
        <w:t>。</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bookmarkStart w:id="49" w:name="_Toc15377224"/>
      <w:r>
        <w:rPr>
          <w:rFonts w:hint="eastAsia" w:ascii="仿宋" w:hAnsi="仿宋" w:eastAsia="仿宋"/>
          <w:b/>
          <w:color w:val="000000"/>
          <w:sz w:val="32"/>
          <w:szCs w:val="32"/>
        </w:rPr>
        <w:t>（三）国有资产占有使用情况</w:t>
      </w:r>
      <w:bookmarkEnd w:id="49"/>
    </w:p>
    <w:p>
      <w:pPr>
        <w:autoSpaceDE w:val="0"/>
        <w:autoSpaceDN w:val="0"/>
        <w:adjustRightInd w:val="0"/>
        <w:spacing w:line="600" w:lineRule="exact"/>
        <w:ind w:firstLine="640" w:firstLineChars="200"/>
        <w:jc w:val="left"/>
        <w:rPr>
          <w:rFonts w:ascii="仿宋" w:hAnsi="仿宋" w:eastAsia="仿宋"/>
          <w:b/>
          <w:color w:val="FF0000"/>
          <w:sz w:val="32"/>
          <w:szCs w:val="32"/>
        </w:rPr>
      </w:pPr>
      <w:r>
        <w:rPr>
          <w:rFonts w:hint="eastAsia" w:ascii="仿宋_GB2312" w:eastAsia="仿宋_GB2312"/>
          <w:color w:val="000000"/>
          <w:sz w:val="32"/>
          <w:szCs w:val="32"/>
        </w:rPr>
        <w:t>截至</w:t>
      </w:r>
      <w:r>
        <w:rPr>
          <w:rFonts w:ascii="仿宋_GB2312" w:eastAsia="仿宋_GB2312"/>
          <w:color w:val="000000"/>
          <w:sz w:val="32"/>
          <w:szCs w:val="32"/>
        </w:rPr>
        <w:t>20</w:t>
      </w:r>
      <w:r>
        <w:rPr>
          <w:rFonts w:hint="eastAsia" w:ascii="仿宋_GB2312" w:eastAsia="仿宋_GB2312"/>
          <w:color w:val="000000"/>
          <w:sz w:val="32"/>
          <w:szCs w:val="32"/>
        </w:rPr>
        <w:t>20年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w:t>
      </w:r>
      <w:r>
        <w:rPr>
          <w:rFonts w:hint="eastAsia" w:ascii="仿宋_GB2312" w:eastAsia="仿宋_GB2312" w:cs="仿宋_GB2312"/>
          <w:sz w:val="32"/>
          <w:szCs w:val="32"/>
        </w:rPr>
        <w:t>德阳市城市管理行政执法局</w:t>
      </w:r>
      <w:r>
        <w:rPr>
          <w:rFonts w:hint="eastAsia" w:ascii="仿宋_GB2312" w:eastAsia="仿宋_GB2312"/>
          <w:color w:val="000000"/>
          <w:sz w:val="32"/>
          <w:szCs w:val="32"/>
        </w:rPr>
        <w:t>共有车辆260辆，其中：主要领导干部用车0辆、机要通信用车1辆、应急保障用车2辆、执法执勤用车80辆，特种专业技术用车141辆，其他用车36辆，</w:t>
      </w:r>
      <w:r>
        <w:rPr>
          <w:rFonts w:hint="eastAsia" w:ascii="仿宋_GB2312" w:eastAsia="仿宋_GB2312"/>
          <w:color w:val="000000" w:themeColor="text1"/>
          <w:sz w:val="32"/>
          <w:szCs w:val="32"/>
          <w14:textFill>
            <w14:solidFill>
              <w14:schemeClr w14:val="tx1"/>
            </w14:solidFill>
          </w14:textFill>
        </w:rPr>
        <w:t>其他用车主要是用于城市管护，单价</w:t>
      </w:r>
      <w:r>
        <w:rPr>
          <w:rFonts w:ascii="仿宋_GB2312" w:eastAsia="仿宋_GB2312"/>
          <w:color w:val="000000" w:themeColor="text1"/>
          <w:sz w:val="32"/>
          <w:szCs w:val="32"/>
          <w14:textFill>
            <w14:solidFill>
              <w14:schemeClr w14:val="tx1"/>
            </w14:solidFill>
          </w14:textFill>
        </w:rPr>
        <w:t>50</w:t>
      </w:r>
      <w:r>
        <w:rPr>
          <w:rFonts w:hint="eastAsia" w:ascii="仿宋_GB2312" w:eastAsia="仿宋_GB2312"/>
          <w:color w:val="000000" w:themeColor="text1"/>
          <w:sz w:val="32"/>
          <w:szCs w:val="32"/>
          <w14:textFill>
            <w14:solidFill>
              <w14:schemeClr w14:val="tx1"/>
            </w14:solidFill>
          </w14:textFill>
        </w:rPr>
        <w:t>万元以上通用设备1台（套），单价</w:t>
      </w:r>
      <w:r>
        <w:rPr>
          <w:rFonts w:ascii="仿宋_GB2312" w:eastAsia="仿宋_GB2312"/>
          <w:color w:val="000000" w:themeColor="text1"/>
          <w:sz w:val="32"/>
          <w:szCs w:val="32"/>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万元以上</w:t>
      </w:r>
      <w:r>
        <w:rPr>
          <w:rFonts w:hint="eastAsia" w:ascii="仿宋_GB2312" w:eastAsia="仿宋_GB2312"/>
          <w:color w:val="000000"/>
          <w:sz w:val="32"/>
          <w:szCs w:val="32"/>
        </w:rPr>
        <w:t>专用设备0台（套）。</w:t>
      </w:r>
    </w:p>
    <w:p>
      <w:pPr>
        <w:autoSpaceDE w:val="0"/>
        <w:autoSpaceDN w:val="0"/>
        <w:adjustRightInd w:val="0"/>
        <w:spacing w:line="600" w:lineRule="exact"/>
        <w:ind w:firstLine="643" w:firstLineChars="200"/>
        <w:jc w:val="left"/>
        <w:outlineLvl w:val="2"/>
        <w:rPr>
          <w:rFonts w:ascii="仿宋" w:hAnsi="仿宋" w:eastAsia="仿宋"/>
          <w:b/>
          <w:color w:val="000000"/>
          <w:sz w:val="32"/>
          <w:szCs w:val="32"/>
        </w:rPr>
      </w:pPr>
      <w:r>
        <w:rPr>
          <w:rFonts w:hint="eastAsia" w:ascii="仿宋" w:hAnsi="仿宋" w:eastAsia="仿宋"/>
          <w:b/>
          <w:color w:val="000000"/>
          <w:sz w:val="32"/>
          <w:szCs w:val="32"/>
        </w:rPr>
        <w:t>（四）预算绩效管理情况</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部门（单位）在年初预算编制阶段，组织对环卫处“生活垃圾焚烧处置费”等项目开展了预算事前绩效评估，对全局所有项目编制了绩效目标，预算执行过程中，选取5个项目开展绩效监控，年终执行完毕后，对5个项目开展了绩效目标完成情况自评。</w:t>
      </w:r>
    </w:p>
    <w:p>
      <w:pPr>
        <w:pStyle w:val="2"/>
        <w:ind w:leftChars="0" w:firstLine="480" w:firstLineChars="150"/>
        <w:rPr>
          <w:rFonts w:hAnsi="仿宋_GB2312"/>
        </w:rPr>
      </w:pPr>
      <w:r>
        <w:rPr>
          <w:rFonts w:hint="eastAsia" w:hAnsi="仿宋_GB2312"/>
        </w:rPr>
        <w:t>本部门按要求对2020年部门整体支出开展绩效自评，从评价情况来看</w:t>
      </w:r>
      <w:r>
        <w:rPr>
          <w:rFonts w:hint="eastAsia"/>
          <w:color w:val="000000"/>
          <w:sz w:val="31"/>
          <w:szCs w:val="31"/>
          <w:shd w:val="clear" w:color="auto" w:fill="FFFFFF"/>
        </w:rPr>
        <w:t>，本部门严格规范财政资金的管理，强化财政支出绩效理念，提升部门责任意识，提高资金使用效益，促进城市管理工作的发展</w:t>
      </w:r>
      <w:r>
        <w:rPr>
          <w:rFonts w:hint="eastAsia" w:hAnsi="仿宋_GB2312"/>
        </w:rPr>
        <w:t>。本部门还自行组织了5个项目支出绩效评价，从评价情况来看各项审核严格，管理到位，完成及时，社会效果良好。</w:t>
      </w:r>
    </w:p>
    <w:p>
      <w:pPr>
        <w:pStyle w:val="2"/>
        <w:ind w:leftChars="0" w:firstLine="576" w:firstLineChars="180"/>
        <w:rPr>
          <w:rFonts w:hAnsi="仿宋_GB2312"/>
        </w:rPr>
      </w:pPr>
      <w:r>
        <w:rPr>
          <w:rFonts w:hint="eastAsia" w:ascii="楷体_GB2312" w:hAnsi="楷体_GB2312" w:eastAsia="楷体_GB2312" w:cs="楷体_GB2312"/>
        </w:rPr>
        <w:t>1.项目绩效目标完成情况。</w:t>
      </w:r>
      <w:r>
        <w:rPr>
          <w:rFonts w:hint="eastAsia" w:ascii="楷体_GB2312" w:hAnsi="楷体_GB2312" w:eastAsia="楷体_GB2312" w:cs="楷体_GB2312"/>
        </w:rPr>
        <w:br w:type="textWrapping"/>
      </w:r>
      <w:r>
        <w:rPr>
          <w:rFonts w:hint="eastAsia" w:hAnsi="仿宋_GB2312"/>
        </w:rPr>
        <w:t xml:space="preserve">    本部门在2020年度部门决算中反映环境卫生管理处“生活垃圾焚烧处置”、公园管理处“公园节日氛围营造费</w:t>
      </w:r>
      <w:r>
        <w:rPr>
          <w:rFonts w:hAnsi="仿宋_GB2312"/>
        </w:rPr>
        <w:t>”</w:t>
      </w:r>
      <w:r>
        <w:rPr>
          <w:rFonts w:hint="eastAsia" w:hAnsi="仿宋_GB2312"/>
        </w:rPr>
        <w:t>、 照明设施管理处“城市路灯电费项目”等5个项目绩效目标实际完成情况，完成情况综述和完成情况表如下。</w:t>
      </w:r>
    </w:p>
    <w:bookmarkEnd w:id="17"/>
    <w:tbl>
      <w:tblPr>
        <w:tblStyle w:val="15"/>
        <w:tblW w:w="5989" w:type="pct"/>
        <w:tblInd w:w="-7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5000" w:type="pct"/>
            <w:tcBorders>
              <w:top w:val="nil"/>
              <w:left w:val="nil"/>
              <w:bottom w:val="nil"/>
              <w:right w:val="nil"/>
            </w:tcBorders>
            <w:shd w:val="clear" w:color="auto" w:fill="auto"/>
            <w:vAlign w:val="center"/>
          </w:tcPr>
          <w:p>
            <w:pPr>
              <w:widowControl/>
              <w:rPr>
                <w:rFonts w:ascii="宋体" w:hAnsi="宋体" w:cs="宋体"/>
                <w:b/>
                <w:bCs/>
                <w:kern w:val="0"/>
                <w:sz w:val="32"/>
                <w:szCs w:val="32"/>
              </w:rPr>
            </w:pPr>
          </w:p>
        </w:tc>
      </w:tr>
    </w:tbl>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（1）生活垃圾焚烧处置项目绩效目标完成情况综述。项目全年预算数1150万元，执行数为1150万元，完成预算的100</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通过项目实施，所接收生活垃圾均按照国家规定进行了焚烧无害化处理，无害化处理率100%；净化后的烟气达到《生活垃圾焚烧污染控制标准》（GB18485-2014）排放标准；出水水质均满足《城市污水再生利用工业用水水质》（GB/T19923-2005）工艺回用水标准后进行回用，提升了城市环境卫生形象，产生明显的社会效益和生态效益。发现的主要问题：一是绩效目标设定不够细化量化；二是项目月度考核资料不够完善。下一步改进措施：</w:t>
      </w:r>
      <w:r>
        <w:rPr>
          <w:rFonts w:hint="eastAsia" w:ascii="仿宋" w:hAnsi="仿宋" w:eastAsia="仿宋" w:cs="仿宋_GB2312"/>
          <w:sz w:val="32"/>
          <w:szCs w:val="32"/>
        </w:rPr>
        <w:t>①</w:t>
      </w:r>
      <w:r>
        <w:rPr>
          <w:rFonts w:hint="eastAsia" w:ascii="仿宋_GB2312" w:hAnsi="仿宋_GB2312" w:eastAsia="仿宋_GB2312" w:cs="仿宋_GB2312"/>
          <w:sz w:val="32"/>
          <w:szCs w:val="32"/>
        </w:rPr>
        <w:t>细化工作计划，落实工作目标。根据生活垃圾处置实际，细化工作计划，明确责任主体，层层落实控制任务，提高项目资金使用效益，更好地实现垃圾“无害化、资源化、减量化”目标。</w:t>
      </w:r>
      <w:r>
        <w:rPr>
          <w:rFonts w:hint="eastAsia" w:ascii="仿宋" w:hAnsi="仿宋" w:eastAsia="仿宋" w:cs="仿宋_GB2312"/>
          <w:sz w:val="32"/>
          <w:szCs w:val="32"/>
        </w:rPr>
        <w:t>②</w:t>
      </w:r>
      <w:r>
        <w:rPr>
          <w:rFonts w:hint="eastAsia" w:ascii="仿宋_GB2312" w:hAnsi="仿宋_GB2312" w:eastAsia="仿宋_GB2312" w:cs="仿宋_GB2312"/>
          <w:sz w:val="32"/>
          <w:szCs w:val="32"/>
        </w:rPr>
        <w:t>加强项目监管，保障进度效果。进一步加大项目的监管力度，细化考核点，工作台账清晰、完整，做到有制度考核、有资金维护、有人员监管，形成规范化的运行监管机制。</w:t>
      </w:r>
    </w:p>
    <w:tbl>
      <w:tblPr>
        <w:tblStyle w:val="15"/>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68"/>
        <w:gridCol w:w="2324"/>
        <w:gridCol w:w="2394"/>
        <w:gridCol w:w="2392"/>
      </w:tblGrid>
      <w:tr>
        <w:tblPrEx>
          <w:tblCellMar>
            <w:top w:w="0" w:type="dxa"/>
            <w:left w:w="0" w:type="dxa"/>
            <w:bottom w:w="0" w:type="dxa"/>
            <w:right w:w="0" w:type="dxa"/>
          </w:tblCellMar>
        </w:tblPrEx>
        <w:trPr>
          <w:trHeight w:val="1034" w:hRule="atLeast"/>
          <w:jc w:val="center"/>
        </w:trPr>
        <w:tc>
          <w:tcPr>
            <w:tcW w:w="9960" w:type="dxa"/>
            <w:gridSpan w:val="7"/>
            <w:tcBorders>
              <w:top w:val="nil"/>
              <w:left w:val="nil"/>
              <w:bottom w:val="nil"/>
              <w:right w:val="nil"/>
            </w:tcBorders>
            <w:tcMar>
              <w:top w:w="15" w:type="dxa"/>
              <w:left w:w="15" w:type="dxa"/>
              <w:right w:w="15" w:type="dxa"/>
            </w:tcMar>
            <w:vAlign w:val="center"/>
          </w:tcPr>
          <w:p>
            <w:pPr>
              <w:widowControl/>
              <w:jc w:val="center"/>
              <w:textAlignment w:val="center"/>
              <w:rPr>
                <w:rFonts w:ascii="宋体" w:hAnsi="宋体" w:cs="宋体"/>
                <w:b/>
                <w:bCs/>
                <w:color w:val="000000"/>
                <w:kern w:val="0"/>
                <w:sz w:val="36"/>
                <w:szCs w:val="36"/>
              </w:rPr>
            </w:pPr>
          </w:p>
          <w:p>
            <w:pPr>
              <w:widowControl/>
              <w:jc w:val="center"/>
              <w:textAlignment w:val="center"/>
              <w:rPr>
                <w:rFonts w:ascii="宋体" w:cs="宋体"/>
                <w:color w:val="000000"/>
                <w:sz w:val="36"/>
                <w:szCs w:val="36"/>
              </w:rPr>
            </w:pPr>
            <w:r>
              <w:rPr>
                <w:rFonts w:hint="eastAsia" w:ascii="宋体" w:hAnsi="宋体" w:cs="宋体"/>
                <w:b/>
                <w:bCs/>
                <w:color w:val="000000"/>
                <w:kern w:val="0"/>
                <w:sz w:val="36"/>
                <w:szCs w:val="36"/>
              </w:rPr>
              <w:t>项目绩效目标完成情况表</w:t>
            </w:r>
            <w:r>
              <w:rPr>
                <w:rFonts w:ascii="宋体" w:cs="宋体"/>
                <w:b/>
                <w:bCs/>
                <w:color w:val="000000"/>
                <w:kern w:val="0"/>
                <w:sz w:val="36"/>
                <w:szCs w:val="36"/>
              </w:rPr>
              <w:br w:type="textWrapping"/>
            </w:r>
            <w:r>
              <w:rPr>
                <w:rFonts w:ascii="宋体" w:hAnsi="宋体" w:cs="宋体"/>
                <w:color w:val="000000"/>
                <w:kern w:val="0"/>
                <w:sz w:val="36"/>
                <w:szCs w:val="36"/>
              </w:rPr>
              <w:t>(2020</w:t>
            </w:r>
            <w:r>
              <w:rPr>
                <w:rFonts w:hint="eastAsia" w:ascii="宋体" w:hAnsi="宋体" w:cs="宋体"/>
                <w:color w:val="000000"/>
                <w:kern w:val="0"/>
                <w:sz w:val="36"/>
                <w:szCs w:val="36"/>
              </w:rPr>
              <w:t>年度</w:t>
            </w:r>
            <w:r>
              <w:rPr>
                <w:rFonts w:ascii="宋体" w:hAnsi="宋体" w:cs="宋体"/>
                <w:color w:val="000000"/>
                <w:kern w:val="0"/>
                <w:sz w:val="36"/>
                <w:szCs w:val="36"/>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项目名称</w:t>
            </w:r>
          </w:p>
        </w:tc>
        <w:tc>
          <w:tcPr>
            <w:tcW w:w="7178"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生活垃圾焚烧处置费</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预算单位</w:t>
            </w:r>
          </w:p>
        </w:tc>
        <w:tc>
          <w:tcPr>
            <w:tcW w:w="7178"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德阳市市容环境卫生管理处</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预算执行情况</w:t>
            </w:r>
            <w:r>
              <w:rPr>
                <w:rFonts w:ascii="宋体" w:hAnsi="宋体" w:cs="宋体"/>
                <w:color w:val="000000"/>
                <w:kern w:val="0"/>
                <w:sz w:val="18"/>
                <w:szCs w:val="18"/>
              </w:rPr>
              <w:t>(</w:t>
            </w:r>
            <w:r>
              <w:rPr>
                <w:rFonts w:hint="eastAsia" w:ascii="宋体" w:hAnsi="宋体" w:cs="宋体"/>
                <w:color w:val="000000"/>
                <w:kern w:val="0"/>
                <w:sz w:val="18"/>
                <w:szCs w:val="18"/>
              </w:rPr>
              <w:t>万元</w:t>
            </w:r>
            <w:r>
              <w:rPr>
                <w:rFonts w:ascii="宋体" w:hAnsi="宋体" w:cs="宋体"/>
                <w:color w:val="000000"/>
                <w:kern w:val="0"/>
                <w:sz w:val="18"/>
                <w:szCs w:val="18"/>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预算数</w:t>
            </w:r>
            <w:r>
              <w:rPr>
                <w:rFonts w:ascii="宋体" w:hAnsi="宋体" w:cs="宋体"/>
                <w:color w:val="000000"/>
                <w:kern w:val="0"/>
                <w:sz w:val="18"/>
                <w:szCs w:val="18"/>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1150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执行数</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1150</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18"/>
                <w:szCs w:val="18"/>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其中</w:t>
            </w:r>
            <w:r>
              <w:rPr>
                <w:rFonts w:ascii="宋体" w:cs="宋体"/>
                <w:color w:val="000000"/>
                <w:kern w:val="0"/>
                <w:sz w:val="18"/>
                <w:szCs w:val="18"/>
              </w:rPr>
              <w:t>-</w:t>
            </w:r>
            <w:r>
              <w:rPr>
                <w:rFonts w:hint="eastAsia" w:ascii="宋体" w:hAnsi="宋体" w:cs="宋体"/>
                <w:color w:val="000000"/>
                <w:kern w:val="0"/>
                <w:sz w:val="18"/>
                <w:szCs w:val="18"/>
              </w:rPr>
              <w:t>财政拨款</w:t>
            </w:r>
            <w:r>
              <w:rPr>
                <w:rFonts w:ascii="宋体" w:hAnsi="宋体" w:cs="宋体"/>
                <w:color w:val="000000"/>
                <w:kern w:val="0"/>
                <w:sz w:val="18"/>
                <w:szCs w:val="18"/>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其中</w:t>
            </w:r>
            <w:r>
              <w:rPr>
                <w:rFonts w:ascii="宋体" w:cs="宋体"/>
                <w:color w:val="000000"/>
                <w:kern w:val="0"/>
                <w:sz w:val="18"/>
                <w:szCs w:val="18"/>
              </w:rPr>
              <w:t>-</w:t>
            </w:r>
            <w:r>
              <w:rPr>
                <w:rFonts w:hint="eastAsia" w:ascii="宋体" w:hAnsi="宋体" w:cs="宋体"/>
                <w:color w:val="000000"/>
                <w:kern w:val="0"/>
                <w:sz w:val="18"/>
                <w:szCs w:val="18"/>
              </w:rPr>
              <w:t>财政拨款</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r>
      <w:tr>
        <w:tblPrEx>
          <w:tblCellMar>
            <w:top w:w="0" w:type="dxa"/>
            <w:left w:w="0" w:type="dxa"/>
            <w:bottom w:w="0" w:type="dxa"/>
            <w:right w:w="0" w:type="dxa"/>
          </w:tblCellMar>
        </w:tblPrEx>
        <w:trPr>
          <w:trHeight w:val="1333"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18"/>
                <w:szCs w:val="18"/>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其它资金</w:t>
            </w:r>
            <w:r>
              <w:rPr>
                <w:rFonts w:ascii="宋体" w:hAnsi="宋体" w:cs="宋体"/>
                <w:color w:val="000000"/>
                <w:kern w:val="0"/>
                <w:sz w:val="18"/>
                <w:szCs w:val="18"/>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1150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其它资金</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18"/>
                <w:szCs w:val="18"/>
              </w:rPr>
            </w:pPr>
            <w:r>
              <w:rPr>
                <w:rFonts w:hint="eastAsia" w:ascii="宋体" w:cs="宋体"/>
                <w:color w:val="000000"/>
                <w:sz w:val="18"/>
                <w:szCs w:val="18"/>
              </w:rPr>
              <w:t>1150</w:t>
            </w:r>
          </w:p>
        </w:tc>
      </w:tr>
      <w:tr>
        <w:tblPrEx>
          <w:tblCellMar>
            <w:top w:w="0" w:type="dxa"/>
            <w:left w:w="0" w:type="dxa"/>
            <w:bottom w:w="0" w:type="dxa"/>
            <w:right w:w="0" w:type="dxa"/>
          </w:tblCellMar>
        </w:tblPrEx>
        <w:trPr>
          <w:trHeight w:val="697"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年度目标完成情况</w:t>
            </w:r>
          </w:p>
        </w:tc>
        <w:tc>
          <w:tcPr>
            <w:tcW w:w="4784"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实际完成目标</w:t>
            </w:r>
          </w:p>
        </w:tc>
      </w:tr>
      <w:tr>
        <w:tblPrEx>
          <w:tblCellMar>
            <w:top w:w="0" w:type="dxa"/>
            <w:left w:w="0" w:type="dxa"/>
            <w:bottom w:w="0" w:type="dxa"/>
            <w:right w:w="0" w:type="dxa"/>
          </w:tblCellMar>
        </w:tblPrEx>
        <w:trPr>
          <w:trHeight w:val="4177"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18"/>
                <w:szCs w:val="18"/>
              </w:rPr>
            </w:pPr>
          </w:p>
        </w:tc>
        <w:tc>
          <w:tcPr>
            <w:tcW w:w="4784"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按照市城管执法局与德阳市和新环保发电有限责任公司签订的《德阳市生活垃圾焚烧发电项目特许经营许可协议》以及《德阳市生活垃圾焚烧发电项目补充协议》内容，市本级生活垃圾焚烧发电处置费标准为79元/吨，完成2020年度市本级生活焚烧处置的监管工作，保障生活垃圾无害化处理率100%。</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18"/>
                <w:szCs w:val="18"/>
              </w:rPr>
            </w:pPr>
            <w:r>
              <w:rPr>
                <w:rFonts w:hint="eastAsia" w:ascii="宋体" w:cs="宋体"/>
                <w:color w:val="000000"/>
                <w:sz w:val="18"/>
                <w:szCs w:val="18"/>
              </w:rPr>
              <w:t>自德阳市生活垃圾焚烧发电项目投入运行以来，我处严格按照考核标准，对该项目运行情况进行监管。目前，德阳市和新环保发电有限责任公司项目运行正常，所接收生活垃圾均按照国家规定进行了焚烧发电无害化处理，无害化处理率100%；净化后的烟气达到《生活垃圾焚烧污染控制标准》（GB18485-2014）排放标准；出水水质均满足《城市污水再生利用工业用水水质》（GB/T19923-2005）工艺回用水标准后进行回用。处置服务单位作业符合操作规程、生活垃圾无害化处置率100%，垃圾入场量统计台账、垃圾无害化处置台账、安全生产台账等相关报表资料齐全，制定了安全应急预案。</w:t>
            </w:r>
          </w:p>
          <w:p>
            <w:pPr>
              <w:widowControl/>
              <w:jc w:val="left"/>
              <w:textAlignment w:val="center"/>
              <w:rPr>
                <w:rFonts w:ascii="宋体" w:cs="宋体"/>
                <w:color w:val="000000"/>
                <w:sz w:val="18"/>
                <w:szCs w:val="18"/>
              </w:rPr>
            </w:pPr>
            <w:r>
              <w:rPr>
                <w:rFonts w:hint="eastAsia" w:ascii="宋体" w:cs="宋体"/>
                <w:color w:val="000000"/>
                <w:sz w:val="18"/>
                <w:szCs w:val="18"/>
              </w:rPr>
              <w:t>2020年无害化处置率100%，全面完成了项目计划工作量，达到计划完成量的100%，资金使用率100%。</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sz w:val="18"/>
                <w:szCs w:val="18"/>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一级指标</w:t>
            </w:r>
          </w:p>
        </w:tc>
        <w:tc>
          <w:tcPr>
            <w:tcW w:w="109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二级指标</w:t>
            </w:r>
          </w:p>
        </w:tc>
        <w:tc>
          <w:tcPr>
            <w:tcW w:w="23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预期指标值</w:t>
            </w:r>
            <w:r>
              <w:rPr>
                <w:rFonts w:ascii="宋体" w:hAnsi="宋体" w:cs="宋体"/>
                <w:color w:val="000000"/>
                <w:kern w:val="0"/>
                <w:sz w:val="18"/>
                <w:szCs w:val="18"/>
              </w:rPr>
              <w:t>(</w:t>
            </w:r>
            <w:r>
              <w:rPr>
                <w:rFonts w:hint="eastAsia" w:ascii="宋体" w:hAnsi="宋体" w:cs="宋体"/>
                <w:color w:val="000000"/>
                <w:kern w:val="0"/>
                <w:sz w:val="18"/>
                <w:szCs w:val="18"/>
              </w:rPr>
              <w:t>包含数字及文字描述</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实际完成指标值</w:t>
            </w:r>
            <w:r>
              <w:rPr>
                <w:rFonts w:ascii="宋体" w:hAnsi="宋体" w:cs="宋体"/>
                <w:color w:val="000000"/>
                <w:kern w:val="0"/>
                <w:sz w:val="18"/>
                <w:szCs w:val="18"/>
              </w:rPr>
              <w:t>(</w:t>
            </w:r>
            <w:r>
              <w:rPr>
                <w:rFonts w:hint="eastAsia" w:ascii="宋体" w:hAnsi="宋体" w:cs="宋体"/>
                <w:color w:val="000000"/>
                <w:kern w:val="0"/>
                <w:sz w:val="18"/>
                <w:szCs w:val="18"/>
              </w:rPr>
              <w:t>包含数字及文字描述</w:t>
            </w:r>
            <w:r>
              <w:rPr>
                <w:rFonts w:ascii="宋体" w:hAnsi="宋体" w:cs="宋体"/>
                <w:color w:val="000000"/>
                <w:kern w:val="0"/>
                <w:sz w:val="18"/>
                <w:szCs w:val="18"/>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项目完成指标</w:t>
            </w:r>
          </w:p>
        </w:tc>
        <w:tc>
          <w:tcPr>
            <w:tcW w:w="109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数量指标</w:t>
            </w:r>
          </w:p>
        </w:tc>
        <w:tc>
          <w:tcPr>
            <w:tcW w:w="23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生活垃圾焚烧处置量</w:t>
            </w:r>
            <w:r>
              <w:rPr>
                <w:rFonts w:hint="eastAsia" w:ascii="宋体" w:cs="宋体"/>
                <w:color w:val="000000"/>
                <w:sz w:val="18"/>
                <w:szCs w:val="18"/>
              </w:rPr>
              <w:tab/>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以每月实际处置量进行结算</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2020实际处置生活垃圾约</w:t>
            </w:r>
            <w:r>
              <w:rPr>
                <w:rFonts w:ascii="宋体" w:cs="宋体"/>
                <w:color w:val="000000"/>
                <w:sz w:val="18"/>
                <w:szCs w:val="18"/>
              </w:rPr>
              <w:t>132300.608</w:t>
            </w:r>
            <w:r>
              <w:rPr>
                <w:rFonts w:hint="eastAsia" w:ascii="宋体" w:cs="宋体"/>
                <w:color w:val="000000"/>
                <w:sz w:val="18"/>
                <w:szCs w:val="18"/>
              </w:rPr>
              <w:t>吨</w:t>
            </w:r>
          </w:p>
        </w:tc>
      </w:tr>
      <w:tr>
        <w:tblPrEx>
          <w:tblCellMar>
            <w:top w:w="0" w:type="dxa"/>
            <w:left w:w="0" w:type="dxa"/>
            <w:bottom w:w="0" w:type="dxa"/>
            <w:right w:w="0" w:type="dxa"/>
          </w:tblCellMar>
        </w:tblPrEx>
        <w:trPr>
          <w:trHeight w:val="609"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项目完成指标</w:t>
            </w:r>
          </w:p>
        </w:tc>
        <w:tc>
          <w:tcPr>
            <w:tcW w:w="109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质量指标</w:t>
            </w:r>
          </w:p>
        </w:tc>
        <w:tc>
          <w:tcPr>
            <w:tcW w:w="23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无害化处置率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100%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100%</w:t>
            </w:r>
          </w:p>
        </w:tc>
      </w:tr>
      <w:tr>
        <w:tblPrEx>
          <w:tblCellMar>
            <w:top w:w="0" w:type="dxa"/>
            <w:left w:w="0" w:type="dxa"/>
            <w:bottom w:w="0" w:type="dxa"/>
            <w:right w:w="0" w:type="dxa"/>
          </w:tblCellMar>
        </w:tblPrEx>
        <w:trPr>
          <w:trHeight w:val="54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项目完成指标</w:t>
            </w:r>
          </w:p>
        </w:tc>
        <w:tc>
          <w:tcPr>
            <w:tcW w:w="109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时效指标</w:t>
            </w:r>
          </w:p>
        </w:tc>
        <w:tc>
          <w:tcPr>
            <w:tcW w:w="23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完成时间</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按相关合同约定完成</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按相关合同约定完成</w:t>
            </w:r>
          </w:p>
        </w:tc>
      </w:tr>
      <w:tr>
        <w:tblPrEx>
          <w:tblCellMar>
            <w:top w:w="0" w:type="dxa"/>
            <w:left w:w="0" w:type="dxa"/>
            <w:bottom w:w="0" w:type="dxa"/>
            <w:right w:w="0" w:type="dxa"/>
          </w:tblCellMar>
        </w:tblPrEx>
        <w:trPr>
          <w:trHeight w:val="5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18"/>
                <w:szCs w:val="18"/>
              </w:rPr>
            </w:pPr>
            <w:r>
              <w:rPr>
                <w:rFonts w:hint="eastAsia" w:ascii="宋体" w:hAnsi="宋体" w:cs="宋体"/>
                <w:color w:val="000000"/>
                <w:kern w:val="0"/>
                <w:sz w:val="18"/>
                <w:szCs w:val="18"/>
              </w:rPr>
              <w:t>项目完成指标</w:t>
            </w:r>
          </w:p>
        </w:tc>
        <w:tc>
          <w:tcPr>
            <w:tcW w:w="109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成本指标</w:t>
            </w:r>
          </w:p>
        </w:tc>
        <w:tc>
          <w:tcPr>
            <w:tcW w:w="23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项目预算资金</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≤1150万元</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1150万元</w:t>
            </w:r>
          </w:p>
        </w:tc>
      </w:tr>
      <w:tr>
        <w:tblPrEx>
          <w:tblCellMar>
            <w:top w:w="0" w:type="dxa"/>
            <w:left w:w="0" w:type="dxa"/>
            <w:bottom w:w="0" w:type="dxa"/>
            <w:right w:w="0" w:type="dxa"/>
          </w:tblCellMar>
        </w:tblPrEx>
        <w:trPr>
          <w:trHeight w:val="819"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效益指标</w:t>
            </w:r>
          </w:p>
        </w:tc>
        <w:tc>
          <w:tcPr>
            <w:tcW w:w="109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社会效益</w:t>
            </w:r>
          </w:p>
        </w:tc>
        <w:tc>
          <w:tcPr>
            <w:tcW w:w="23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创建优美的城市环境</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提高生活垃圾无害化处置</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无害化处置率100%</w:t>
            </w:r>
          </w:p>
        </w:tc>
      </w:tr>
      <w:tr>
        <w:tblPrEx>
          <w:tblCellMar>
            <w:top w:w="0" w:type="dxa"/>
            <w:left w:w="0" w:type="dxa"/>
            <w:bottom w:w="0" w:type="dxa"/>
            <w:right w:w="0" w:type="dxa"/>
          </w:tblCellMar>
        </w:tblPrEx>
        <w:trPr>
          <w:trHeight w:val="54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效益指标</w:t>
            </w:r>
          </w:p>
        </w:tc>
        <w:tc>
          <w:tcPr>
            <w:tcW w:w="109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生态效益指标</w:t>
            </w:r>
          </w:p>
        </w:tc>
        <w:tc>
          <w:tcPr>
            <w:tcW w:w="23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改善环境质量</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无环境污染事件发生</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达到预期目标</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bottom w:val="single" w:color="auto"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满意度指标</w:t>
            </w:r>
          </w:p>
        </w:tc>
        <w:tc>
          <w:tcPr>
            <w:tcW w:w="109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满意度</w:t>
            </w:r>
          </w:p>
        </w:tc>
        <w:tc>
          <w:tcPr>
            <w:tcW w:w="23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对生活垃圾处置的满意度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达到预期目标</w:t>
            </w:r>
          </w:p>
        </w:tc>
      </w:tr>
    </w:tbl>
    <w:p>
      <w:pPr>
        <w:spacing w:line="58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）公园节日氛围营造费项目绩效目标完成情况综述。项目全年预算数20万元，执行数为17.36万元，完成预算的86.8</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通过项目实施，保障公园节日购买彩旗灯笼，保持节日形象，烘托节日氛围，打造环境优美的高质量公园。发现的主要问题：很多灯笼彩旗装饰为一次性用品，对环保不是很友好，浪费资源。下一步改进措施：购买可多次使用的装饰。</w:t>
      </w:r>
    </w:p>
    <w:tbl>
      <w:tblPr>
        <w:tblStyle w:val="15"/>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952"/>
        <w:gridCol w:w="805"/>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ascii="宋体" w:cs="宋体"/>
                <w:color w:val="000000"/>
                <w:sz w:val="36"/>
                <w:szCs w:val="36"/>
              </w:rPr>
            </w:pPr>
            <w:r>
              <w:rPr>
                <w:rFonts w:hint="eastAsia" w:ascii="宋体" w:hAnsi="宋体" w:cs="宋体"/>
                <w:b/>
                <w:bCs/>
                <w:color w:val="000000"/>
                <w:kern w:val="0"/>
                <w:sz w:val="36"/>
                <w:szCs w:val="36"/>
              </w:rPr>
              <w:t>项目绩效目标完成情况表</w:t>
            </w:r>
            <w:r>
              <w:rPr>
                <w:rFonts w:ascii="宋体" w:cs="宋体"/>
                <w:b/>
                <w:bCs/>
                <w:color w:val="000000"/>
                <w:kern w:val="0"/>
                <w:sz w:val="36"/>
                <w:szCs w:val="36"/>
              </w:rPr>
              <w:br w:type="textWrapping"/>
            </w:r>
            <w:r>
              <w:rPr>
                <w:rFonts w:ascii="宋体" w:hAnsi="宋体" w:cs="宋体"/>
                <w:color w:val="000000"/>
                <w:kern w:val="0"/>
                <w:sz w:val="36"/>
                <w:szCs w:val="36"/>
              </w:rPr>
              <w:t>(2020</w:t>
            </w:r>
            <w:r>
              <w:rPr>
                <w:rFonts w:hint="eastAsia" w:ascii="宋体" w:hAnsi="宋体" w:cs="宋体"/>
                <w:color w:val="000000"/>
                <w:kern w:val="0"/>
                <w:sz w:val="36"/>
                <w:szCs w:val="36"/>
              </w:rPr>
              <w:t>年度</w:t>
            </w:r>
            <w:r>
              <w:rPr>
                <w:rFonts w:ascii="宋体" w:hAnsi="宋体" w:cs="宋体"/>
                <w:color w:val="000000"/>
                <w:kern w:val="0"/>
                <w:sz w:val="36"/>
                <w:szCs w:val="36"/>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公园节日氛围营造费</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德阳市公园管理处</w:t>
            </w:r>
          </w:p>
        </w:tc>
      </w:tr>
      <w:tr>
        <w:tblPrEx>
          <w:tblCellMar>
            <w:top w:w="0" w:type="dxa"/>
            <w:left w:w="0" w:type="dxa"/>
            <w:bottom w:w="0" w:type="dxa"/>
            <w:right w:w="0" w:type="dxa"/>
          </w:tblCellMar>
        </w:tblPrEx>
        <w:trPr>
          <w:trHeight w:val="276" w:hRule="atLeast"/>
          <w:jc w:val="center"/>
        </w:trPr>
        <w:tc>
          <w:tcPr>
            <w:tcW w:w="95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预算执行情况</w:t>
            </w:r>
            <w:r>
              <w:rPr>
                <w:rFonts w:ascii="宋体" w:hAnsi="宋体" w:cs="宋体"/>
                <w:color w:val="000000"/>
                <w:kern w:val="0"/>
                <w:sz w:val="18"/>
                <w:szCs w:val="18"/>
              </w:rPr>
              <w:t>(</w:t>
            </w:r>
            <w:r>
              <w:rPr>
                <w:rFonts w:hint="eastAsia" w:ascii="宋体" w:hAnsi="宋体" w:cs="宋体"/>
                <w:color w:val="000000"/>
                <w:kern w:val="0"/>
                <w:sz w:val="18"/>
                <w:szCs w:val="18"/>
              </w:rPr>
              <w:t>万元</w:t>
            </w:r>
            <w:r>
              <w:rPr>
                <w:rFonts w:ascii="宋体" w:hAnsi="宋体" w:cs="宋体"/>
                <w:color w:val="000000"/>
                <w:kern w:val="0"/>
                <w:sz w:val="18"/>
                <w:szCs w:val="18"/>
              </w:rPr>
              <w:t>)</w:t>
            </w:r>
          </w:p>
        </w:tc>
        <w:tc>
          <w:tcPr>
            <w:tcW w:w="183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预算数</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20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执行数</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17.36</w:t>
            </w:r>
          </w:p>
        </w:tc>
      </w:tr>
      <w:tr>
        <w:tblPrEx>
          <w:tblCellMar>
            <w:top w:w="0" w:type="dxa"/>
            <w:left w:w="0" w:type="dxa"/>
            <w:bottom w:w="0" w:type="dxa"/>
            <w:right w:w="0" w:type="dxa"/>
          </w:tblCellMar>
        </w:tblPrEx>
        <w:trPr>
          <w:trHeight w:val="276" w:hRule="atLeast"/>
          <w:jc w:val="center"/>
        </w:trPr>
        <w:tc>
          <w:tcPr>
            <w:tcW w:w="95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18"/>
                <w:szCs w:val="18"/>
              </w:rPr>
            </w:pPr>
          </w:p>
        </w:tc>
        <w:tc>
          <w:tcPr>
            <w:tcW w:w="183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其中</w:t>
            </w:r>
            <w:r>
              <w:rPr>
                <w:rFonts w:ascii="宋体" w:cs="宋体"/>
                <w:color w:val="000000"/>
                <w:kern w:val="0"/>
                <w:sz w:val="18"/>
                <w:szCs w:val="18"/>
              </w:rPr>
              <w:t>-</w:t>
            </w:r>
            <w:r>
              <w:rPr>
                <w:rFonts w:hint="eastAsia" w:ascii="宋体" w:hAnsi="宋体" w:cs="宋体"/>
                <w:color w:val="000000"/>
                <w:kern w:val="0"/>
                <w:sz w:val="18"/>
                <w:szCs w:val="18"/>
              </w:rPr>
              <w:t>财政拨款</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20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其中</w:t>
            </w:r>
            <w:r>
              <w:rPr>
                <w:rFonts w:ascii="宋体" w:cs="宋体"/>
                <w:color w:val="000000"/>
                <w:kern w:val="0"/>
                <w:sz w:val="18"/>
                <w:szCs w:val="18"/>
              </w:rPr>
              <w:t>-</w:t>
            </w:r>
            <w:r>
              <w:rPr>
                <w:rFonts w:hint="eastAsia" w:ascii="宋体" w:hAnsi="宋体" w:cs="宋体"/>
                <w:color w:val="000000"/>
                <w:kern w:val="0"/>
                <w:sz w:val="18"/>
                <w:szCs w:val="18"/>
              </w:rPr>
              <w:t>财政拨款</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17.36</w:t>
            </w:r>
          </w:p>
        </w:tc>
      </w:tr>
      <w:tr>
        <w:tblPrEx>
          <w:tblCellMar>
            <w:top w:w="0" w:type="dxa"/>
            <w:left w:w="0" w:type="dxa"/>
            <w:bottom w:w="0" w:type="dxa"/>
            <w:right w:w="0" w:type="dxa"/>
          </w:tblCellMar>
        </w:tblPrEx>
        <w:trPr>
          <w:trHeight w:val="367" w:hRule="atLeast"/>
          <w:jc w:val="center"/>
        </w:trPr>
        <w:tc>
          <w:tcPr>
            <w:tcW w:w="952"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18"/>
                <w:szCs w:val="18"/>
              </w:rPr>
            </w:pPr>
          </w:p>
        </w:tc>
        <w:tc>
          <w:tcPr>
            <w:tcW w:w="183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其它资金</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其它资金</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18"/>
                <w:szCs w:val="18"/>
              </w:rPr>
            </w:pPr>
          </w:p>
        </w:tc>
      </w:tr>
      <w:tr>
        <w:tblPrEx>
          <w:tblCellMar>
            <w:top w:w="0" w:type="dxa"/>
            <w:left w:w="0" w:type="dxa"/>
            <w:bottom w:w="0" w:type="dxa"/>
            <w:right w:w="0" w:type="dxa"/>
          </w:tblCellMar>
        </w:tblPrEx>
        <w:trPr>
          <w:trHeight w:val="276" w:hRule="atLeast"/>
          <w:jc w:val="center"/>
        </w:trPr>
        <w:tc>
          <w:tcPr>
            <w:tcW w:w="952"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年度目标完成情况</w:t>
            </w:r>
          </w:p>
        </w:tc>
        <w:tc>
          <w:tcPr>
            <w:tcW w:w="422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实际完成目标</w:t>
            </w:r>
          </w:p>
        </w:tc>
      </w:tr>
      <w:tr>
        <w:tblPrEx>
          <w:tblCellMar>
            <w:top w:w="0" w:type="dxa"/>
            <w:left w:w="0" w:type="dxa"/>
            <w:bottom w:w="0" w:type="dxa"/>
            <w:right w:w="0" w:type="dxa"/>
          </w:tblCellMar>
        </w:tblPrEx>
        <w:trPr>
          <w:trHeight w:val="1159" w:hRule="atLeast"/>
          <w:jc w:val="center"/>
        </w:trPr>
        <w:tc>
          <w:tcPr>
            <w:tcW w:w="952" w:type="dxa"/>
            <w:vMerge w:val="continue"/>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rFonts w:ascii="宋体" w:cs="宋体"/>
                <w:color w:val="000000"/>
                <w:sz w:val="18"/>
                <w:szCs w:val="18"/>
              </w:rPr>
            </w:pPr>
          </w:p>
        </w:tc>
        <w:tc>
          <w:tcPr>
            <w:tcW w:w="422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18"/>
                <w:szCs w:val="18"/>
              </w:rPr>
            </w:pPr>
            <w:r>
              <w:rPr>
                <w:rFonts w:hint="eastAsia" w:ascii="宋体" w:cs="宋体"/>
                <w:color w:val="000000"/>
                <w:sz w:val="18"/>
                <w:szCs w:val="18"/>
              </w:rPr>
              <w:t>一年四次（元旦、春节、五一、国庆)节日购买彩旗灯笼，维护公园形象，烘托节日氛围，打造环境优美的高质量公园。</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textAlignment w:val="center"/>
              <w:rPr>
                <w:rFonts w:ascii="宋体" w:cs="宋体"/>
                <w:color w:val="000000"/>
                <w:sz w:val="18"/>
                <w:szCs w:val="18"/>
              </w:rPr>
            </w:pPr>
            <w:r>
              <w:rPr>
                <w:rFonts w:hint="eastAsia" w:ascii="宋体" w:cs="宋体"/>
                <w:color w:val="000000"/>
                <w:sz w:val="18"/>
                <w:szCs w:val="18"/>
              </w:rPr>
              <w:t>一年四次（元旦、春节、五一、国庆)节日购买彩旗灯笼，维护公园形象，烘托节日氛围，打造环境优美的高质量公园。</w:t>
            </w:r>
          </w:p>
        </w:tc>
      </w:tr>
      <w:tr>
        <w:tblPrEx>
          <w:tblCellMar>
            <w:top w:w="0" w:type="dxa"/>
            <w:left w:w="0" w:type="dxa"/>
            <w:bottom w:w="0" w:type="dxa"/>
            <w:right w:w="0" w:type="dxa"/>
          </w:tblCellMar>
        </w:tblPrEx>
        <w:trPr>
          <w:trHeight w:val="1042" w:hRule="atLeast"/>
          <w:jc w:val="center"/>
        </w:trPr>
        <w:tc>
          <w:tcPr>
            <w:tcW w:w="952" w:type="dxa"/>
            <w:vMerge w:val="restart"/>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sz w:val="18"/>
                <w:szCs w:val="18"/>
              </w:rPr>
              <w:t>绩效指标完成情况</w:t>
            </w:r>
          </w:p>
        </w:tc>
        <w:tc>
          <w:tcPr>
            <w:tcW w:w="805"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预期指标值</w:t>
            </w:r>
            <w:r>
              <w:rPr>
                <w:rFonts w:ascii="宋体" w:hAnsi="宋体" w:cs="宋体"/>
                <w:color w:val="000000"/>
                <w:kern w:val="0"/>
                <w:sz w:val="18"/>
                <w:szCs w:val="18"/>
              </w:rPr>
              <w:t>(</w:t>
            </w:r>
            <w:r>
              <w:rPr>
                <w:rFonts w:hint="eastAsia" w:ascii="宋体" w:hAnsi="宋体" w:cs="宋体"/>
                <w:color w:val="000000"/>
                <w:kern w:val="0"/>
                <w:sz w:val="18"/>
                <w:szCs w:val="18"/>
              </w:rPr>
              <w:t>包含数字及文字描述</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实际完成指标值</w:t>
            </w:r>
            <w:r>
              <w:rPr>
                <w:rFonts w:ascii="宋体" w:hAnsi="宋体" w:cs="宋体"/>
                <w:color w:val="000000"/>
                <w:kern w:val="0"/>
                <w:sz w:val="18"/>
                <w:szCs w:val="18"/>
              </w:rPr>
              <w:t>(</w:t>
            </w:r>
            <w:r>
              <w:rPr>
                <w:rFonts w:hint="eastAsia" w:ascii="宋体" w:hAnsi="宋体" w:cs="宋体"/>
                <w:color w:val="000000"/>
                <w:kern w:val="0"/>
                <w:sz w:val="18"/>
                <w:szCs w:val="18"/>
              </w:rPr>
              <w:t>包含数字及文字描述</w:t>
            </w:r>
            <w:r>
              <w:rPr>
                <w:rFonts w:ascii="宋体" w:hAnsi="宋体" w:cs="宋体"/>
                <w:color w:val="000000"/>
                <w:kern w:val="0"/>
                <w:sz w:val="18"/>
                <w:szCs w:val="18"/>
              </w:rPr>
              <w:t>)</w:t>
            </w:r>
          </w:p>
        </w:tc>
      </w:tr>
      <w:tr>
        <w:tblPrEx>
          <w:tblCellMar>
            <w:top w:w="0" w:type="dxa"/>
            <w:left w:w="0" w:type="dxa"/>
            <w:bottom w:w="0" w:type="dxa"/>
            <w:right w:w="0" w:type="dxa"/>
          </w:tblCellMar>
        </w:tblPrEx>
        <w:trPr>
          <w:trHeight w:val="684" w:hRule="atLeast"/>
          <w:jc w:val="center"/>
        </w:trPr>
        <w:tc>
          <w:tcPr>
            <w:tcW w:w="952"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805"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项目完成指标</w:t>
            </w:r>
          </w:p>
        </w:tc>
        <w:tc>
          <w:tcPr>
            <w:tcW w:w="1025"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广场数量</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2个</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Times New Roman" w:cs="宋体"/>
                <w:color w:val="000000"/>
                <w:sz w:val="18"/>
                <w:szCs w:val="18"/>
              </w:rPr>
            </w:pPr>
            <w:r>
              <w:rPr>
                <w:rFonts w:hint="eastAsia" w:ascii="宋体" w:cs="宋体"/>
                <w:color w:val="000000"/>
                <w:sz w:val="18"/>
                <w:szCs w:val="18"/>
              </w:rPr>
              <w:t>2个</w:t>
            </w:r>
          </w:p>
        </w:tc>
      </w:tr>
      <w:tr>
        <w:tblPrEx>
          <w:tblCellMar>
            <w:top w:w="0" w:type="dxa"/>
            <w:left w:w="0" w:type="dxa"/>
            <w:bottom w:w="0" w:type="dxa"/>
            <w:right w:w="0" w:type="dxa"/>
          </w:tblCellMar>
        </w:tblPrEx>
        <w:trPr>
          <w:trHeight w:val="729" w:hRule="atLeast"/>
          <w:jc w:val="center"/>
        </w:trPr>
        <w:tc>
          <w:tcPr>
            <w:tcW w:w="952"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805"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项目完成指标</w:t>
            </w:r>
          </w:p>
        </w:tc>
        <w:tc>
          <w:tcPr>
            <w:tcW w:w="1025"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公园数量</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3个</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Times New Roman" w:cs="宋体"/>
                <w:color w:val="000000"/>
                <w:sz w:val="18"/>
                <w:szCs w:val="18"/>
              </w:rPr>
            </w:pPr>
            <w:r>
              <w:rPr>
                <w:rFonts w:hint="eastAsia" w:ascii="宋体" w:cs="宋体"/>
                <w:color w:val="000000"/>
                <w:sz w:val="18"/>
                <w:szCs w:val="18"/>
              </w:rPr>
              <w:t>3个</w:t>
            </w:r>
          </w:p>
        </w:tc>
      </w:tr>
      <w:tr>
        <w:tblPrEx>
          <w:tblCellMar>
            <w:top w:w="0" w:type="dxa"/>
            <w:left w:w="0" w:type="dxa"/>
            <w:bottom w:w="0" w:type="dxa"/>
            <w:right w:w="0" w:type="dxa"/>
          </w:tblCellMar>
        </w:tblPrEx>
        <w:trPr>
          <w:trHeight w:val="721" w:hRule="atLeast"/>
          <w:jc w:val="center"/>
        </w:trPr>
        <w:tc>
          <w:tcPr>
            <w:tcW w:w="952"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805"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宋体" w:eastAsia="仿宋_GB2312" w:cs="仿宋_GB2312"/>
                <w:color w:val="000000"/>
                <w:sz w:val="18"/>
                <w:szCs w:val="18"/>
              </w:rPr>
            </w:pPr>
            <w:r>
              <w:rPr>
                <w:rFonts w:ascii="宋体" w:cs="宋体"/>
                <w:color w:val="000000"/>
                <w:sz w:val="18"/>
                <w:szCs w:val="18"/>
              </w:rPr>
              <w:t>质量指标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公园花卉质量</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ascii="宋体" w:cs="宋体"/>
                <w:color w:val="000000"/>
                <w:sz w:val="18"/>
                <w:szCs w:val="18"/>
              </w:rPr>
              <w:t>整体美观度≥95%</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ascii="宋体" w:cs="宋体"/>
                <w:color w:val="000000"/>
                <w:sz w:val="18"/>
                <w:szCs w:val="18"/>
              </w:rPr>
              <w:t>良好</w:t>
            </w:r>
          </w:p>
        </w:tc>
      </w:tr>
      <w:tr>
        <w:tblPrEx>
          <w:tblCellMar>
            <w:top w:w="0" w:type="dxa"/>
            <w:left w:w="0" w:type="dxa"/>
            <w:bottom w:w="0" w:type="dxa"/>
            <w:right w:w="0" w:type="dxa"/>
          </w:tblCellMar>
        </w:tblPrEx>
        <w:trPr>
          <w:trHeight w:val="696" w:hRule="atLeast"/>
          <w:jc w:val="center"/>
        </w:trPr>
        <w:tc>
          <w:tcPr>
            <w:tcW w:w="952"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805"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18"/>
                <w:szCs w:val="18"/>
              </w:rPr>
            </w:pPr>
            <w:r>
              <w:rPr>
                <w:rFonts w:hint="eastAsia" w:ascii="宋体" w:hAnsi="宋体" w:cs="宋体"/>
                <w:color w:val="000000"/>
                <w:kern w:val="0"/>
                <w:sz w:val="18"/>
                <w:szCs w:val="18"/>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ascii="宋体" w:cs="宋体"/>
                <w:color w:val="000000"/>
                <w:sz w:val="18"/>
                <w:szCs w:val="18"/>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ascii="宋体" w:cs="宋体"/>
                <w:color w:val="000000"/>
                <w:sz w:val="18"/>
                <w:szCs w:val="18"/>
              </w:rPr>
              <w:t>完成时间</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ascii="宋体" w:cs="宋体"/>
                <w:color w:val="000000"/>
                <w:sz w:val="18"/>
                <w:szCs w:val="18"/>
              </w:rPr>
              <w:t>2020年12月31日</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ascii="宋体" w:cs="宋体"/>
                <w:color w:val="000000"/>
                <w:sz w:val="18"/>
                <w:szCs w:val="18"/>
              </w:rPr>
              <w:t>2020年12月31日</w:t>
            </w:r>
          </w:p>
        </w:tc>
      </w:tr>
      <w:tr>
        <w:tblPrEx>
          <w:tblCellMar>
            <w:top w:w="0" w:type="dxa"/>
            <w:left w:w="0" w:type="dxa"/>
            <w:bottom w:w="0" w:type="dxa"/>
            <w:right w:w="0" w:type="dxa"/>
          </w:tblCellMar>
        </w:tblPrEx>
        <w:trPr>
          <w:trHeight w:val="90" w:hRule="atLeast"/>
          <w:jc w:val="center"/>
        </w:trPr>
        <w:tc>
          <w:tcPr>
            <w:tcW w:w="952"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805"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ascii="宋体" w:cs="宋体"/>
                <w:color w:val="000000"/>
                <w:sz w:val="18"/>
                <w:szCs w:val="18"/>
              </w:rPr>
              <w:t>社会效益指标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对社会的作用</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ascii="宋体" w:cs="宋体"/>
                <w:color w:val="000000"/>
                <w:sz w:val="18"/>
                <w:szCs w:val="18"/>
              </w:rPr>
              <w:t>提高市民满意度，拉动</w:t>
            </w:r>
            <w:r>
              <w:rPr>
                <w:rFonts w:hint="eastAsia" w:ascii="宋体" w:cs="宋体"/>
                <w:color w:val="000000"/>
                <w:sz w:val="18"/>
                <w:szCs w:val="18"/>
              </w:rPr>
              <w:t>园内</w:t>
            </w:r>
            <w:r>
              <w:rPr>
                <w:rFonts w:ascii="宋体" w:cs="宋体"/>
                <w:color w:val="000000"/>
                <w:sz w:val="18"/>
                <w:szCs w:val="18"/>
              </w:rPr>
              <w:t>经济</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ascii="宋体" w:cs="宋体"/>
                <w:color w:val="000000"/>
                <w:sz w:val="18"/>
                <w:szCs w:val="18"/>
              </w:rPr>
              <w:t>提高市民满意度，拉动</w:t>
            </w:r>
            <w:r>
              <w:rPr>
                <w:rFonts w:hint="eastAsia" w:ascii="宋体" w:cs="宋体"/>
                <w:color w:val="000000"/>
                <w:sz w:val="18"/>
                <w:szCs w:val="18"/>
              </w:rPr>
              <w:t>园内</w:t>
            </w:r>
            <w:r>
              <w:rPr>
                <w:rFonts w:ascii="宋体" w:cs="宋体"/>
                <w:color w:val="000000"/>
                <w:sz w:val="18"/>
                <w:szCs w:val="18"/>
              </w:rPr>
              <w:t>经济</w:t>
            </w:r>
          </w:p>
        </w:tc>
      </w:tr>
      <w:tr>
        <w:tblPrEx>
          <w:tblCellMar>
            <w:top w:w="0" w:type="dxa"/>
            <w:left w:w="0" w:type="dxa"/>
            <w:bottom w:w="0" w:type="dxa"/>
            <w:right w:w="0" w:type="dxa"/>
          </w:tblCellMar>
        </w:tblPrEx>
        <w:trPr>
          <w:trHeight w:val="919" w:hRule="atLeast"/>
          <w:jc w:val="center"/>
        </w:trPr>
        <w:tc>
          <w:tcPr>
            <w:tcW w:w="952"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805" w:type="dxa"/>
            <w:tcBorders>
              <w:top w:val="single" w:color="000000" w:sz="4" w:space="0"/>
              <w:left w:val="single" w:color="auto" w:sz="4" w:space="0"/>
              <w:bottom w:val="single" w:color="auto"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ascii="宋体" w:cs="宋体"/>
                <w:color w:val="000000"/>
                <w:sz w:val="18"/>
                <w:szCs w:val="18"/>
              </w:rPr>
              <w:t>可持续影响指标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ascii="宋体" w:cs="宋体"/>
                <w:color w:val="000000"/>
                <w:sz w:val="18"/>
                <w:szCs w:val="18"/>
              </w:rPr>
              <w:t>对环境影响</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ascii="宋体" w:cs="宋体"/>
                <w:color w:val="000000"/>
                <w:sz w:val="18"/>
                <w:szCs w:val="18"/>
              </w:rPr>
              <w:t>美化环境</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ascii="宋体" w:cs="宋体"/>
                <w:color w:val="000000"/>
                <w:sz w:val="18"/>
                <w:szCs w:val="18"/>
              </w:rPr>
              <w:t>美化环境</w:t>
            </w:r>
          </w:p>
        </w:tc>
      </w:tr>
      <w:tr>
        <w:tblPrEx>
          <w:tblCellMar>
            <w:top w:w="0" w:type="dxa"/>
            <w:left w:w="0" w:type="dxa"/>
            <w:bottom w:w="0" w:type="dxa"/>
            <w:right w:w="0" w:type="dxa"/>
          </w:tblCellMar>
        </w:tblPrEx>
        <w:trPr>
          <w:trHeight w:val="863" w:hRule="atLeast"/>
          <w:jc w:val="center"/>
        </w:trPr>
        <w:tc>
          <w:tcPr>
            <w:tcW w:w="952" w:type="dxa"/>
            <w:vMerge w:val="continue"/>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805"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rFonts w:ascii="宋体" w:cs="宋体"/>
                <w:color w:val="000000"/>
                <w:kern w:val="0"/>
                <w:sz w:val="18"/>
                <w:szCs w:val="18"/>
              </w:rPr>
            </w:pPr>
            <w:r>
              <w:rPr>
                <w:rFonts w:hint="eastAsia" w:ascii="宋体" w:hAnsi="宋体" w:cs="宋体"/>
                <w:color w:val="000000"/>
                <w:kern w:val="0"/>
                <w:sz w:val="18"/>
                <w:szCs w:val="18"/>
              </w:rPr>
              <w:t>满意度指标</w:t>
            </w:r>
          </w:p>
        </w:tc>
        <w:tc>
          <w:tcPr>
            <w:tcW w:w="1025" w:type="dxa"/>
            <w:tcBorders>
              <w:top w:val="single" w:color="000000" w:sz="4" w:space="0"/>
              <w:left w:val="single" w:color="auto"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ascii="宋体" w:cs="宋体"/>
                <w:color w:val="000000"/>
                <w:sz w:val="18"/>
                <w:szCs w:val="18"/>
              </w:rPr>
              <w:t>服务对象</w:t>
            </w:r>
            <w:r>
              <w:rPr>
                <w:rFonts w:ascii="宋体" w:cs="宋体"/>
                <w:color w:val="000000"/>
                <w:sz w:val="18"/>
                <w:szCs w:val="18"/>
              </w:rPr>
              <w:br w:type="textWrapping"/>
            </w:r>
            <w:r>
              <w:rPr>
                <w:rFonts w:ascii="宋体" w:cs="宋体"/>
                <w:color w:val="000000"/>
                <w:sz w:val="18"/>
                <w:szCs w:val="18"/>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市民满意度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ascii="宋体" w:cs="宋体"/>
                <w:color w:val="000000"/>
                <w:sz w:val="18"/>
                <w:szCs w:val="18"/>
              </w:rPr>
              <w:t>≥90%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ascii="宋体" w:cs="宋体"/>
                <w:color w:val="000000"/>
                <w:sz w:val="18"/>
                <w:szCs w:val="18"/>
              </w:rPr>
              <w:t>≥90%</w:t>
            </w:r>
          </w:p>
        </w:tc>
      </w:tr>
    </w:tbl>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（3）城市路灯电费项目绩效目标完成情况综述。项目全年预算数1420万元，执行数为1368.97万元，完成预算的96.41</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。通过项目实施，按期完成2020年城市路灯电费缴纳，未出现延迟缴费而出现的大面积熄灯现象，保障了市民夜间交通出行。</w:t>
      </w:r>
    </w:p>
    <w:p>
      <w:pPr>
        <w:pStyle w:val="2"/>
        <w:ind w:leftChars="0" w:firstLine="0"/>
      </w:pPr>
      <w:r>
        <w:rPr>
          <w:rFonts w:hint="eastAsia"/>
        </w:rPr>
        <w:t xml:space="preserve">   </w:t>
      </w:r>
    </w:p>
    <w:tbl>
      <w:tblPr>
        <w:tblStyle w:val="15"/>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spacing w:line="600" w:lineRule="exact"/>
              <w:jc w:val="center"/>
              <w:textAlignment w:val="center"/>
              <w:rPr>
                <w:rFonts w:ascii="宋体" w:hAnsi="宋体" w:cs="宋体"/>
                <w:b/>
                <w:bCs/>
                <w:color w:val="000000"/>
                <w:kern w:val="0"/>
                <w:sz w:val="36"/>
                <w:szCs w:val="36"/>
              </w:rPr>
            </w:pPr>
            <w:r>
              <w:rPr>
                <w:rFonts w:hint="eastAsia" w:ascii="宋体" w:hAnsi="宋体" w:cs="宋体"/>
                <w:b/>
                <w:bCs/>
                <w:color w:val="000000"/>
                <w:kern w:val="0"/>
                <w:sz w:val="36"/>
                <w:szCs w:val="36"/>
              </w:rPr>
              <w:t>项目绩效目标完成情况表</w:t>
            </w:r>
          </w:p>
          <w:p>
            <w:pPr>
              <w:widowControl/>
              <w:spacing w:line="600" w:lineRule="exact"/>
              <w:jc w:val="center"/>
              <w:textAlignment w:val="center"/>
              <w:rPr>
                <w:rFonts w:ascii="宋体" w:cs="宋体"/>
                <w:color w:val="000000"/>
                <w:sz w:val="36"/>
                <w:szCs w:val="36"/>
              </w:rPr>
            </w:pPr>
            <w:r>
              <w:rPr>
                <w:rFonts w:ascii="宋体" w:hAnsi="宋体" w:cs="宋体"/>
                <w:color w:val="000000"/>
                <w:kern w:val="0"/>
                <w:sz w:val="36"/>
                <w:szCs w:val="36"/>
              </w:rPr>
              <w:t>(2020</w:t>
            </w:r>
            <w:r>
              <w:rPr>
                <w:rFonts w:hint="eastAsia" w:ascii="宋体" w:hAnsi="宋体" w:cs="宋体"/>
                <w:color w:val="000000"/>
                <w:kern w:val="0"/>
                <w:sz w:val="36"/>
                <w:szCs w:val="36"/>
              </w:rPr>
              <w:t>年度</w:t>
            </w:r>
            <w:r>
              <w:rPr>
                <w:rFonts w:ascii="宋体" w:hAnsi="宋体" w:cs="宋体"/>
                <w:color w:val="000000"/>
                <w:kern w:val="0"/>
                <w:sz w:val="36"/>
                <w:szCs w:val="36"/>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城市路灯电费</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德阳市城市照明设施管理处</w:t>
            </w:r>
          </w:p>
        </w:tc>
      </w:tr>
      <w:tr>
        <w:tblPrEx>
          <w:tblCellMar>
            <w:top w:w="0" w:type="dxa"/>
            <w:left w:w="0" w:type="dxa"/>
            <w:bottom w:w="0" w:type="dxa"/>
            <w:right w:w="0" w:type="dxa"/>
          </w:tblCellMar>
        </w:tblPrEx>
        <w:trPr>
          <w:trHeight w:val="1251"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预算执行情况</w:t>
            </w:r>
            <w:r>
              <w:rPr>
                <w:rFonts w:ascii="宋体" w:hAnsi="宋体" w:cs="宋体"/>
                <w:color w:val="000000"/>
                <w:kern w:val="0"/>
                <w:sz w:val="18"/>
                <w:szCs w:val="18"/>
              </w:rPr>
              <w:t>(</w:t>
            </w:r>
            <w:r>
              <w:rPr>
                <w:rFonts w:hint="eastAsia" w:ascii="宋体" w:hAnsi="宋体" w:cs="宋体"/>
                <w:color w:val="000000"/>
                <w:kern w:val="0"/>
                <w:sz w:val="18"/>
                <w:szCs w:val="18"/>
              </w:rPr>
              <w:t>万元</w:t>
            </w:r>
            <w:r>
              <w:rPr>
                <w:rFonts w:ascii="宋体" w:hAnsi="宋体" w:cs="宋体"/>
                <w:color w:val="000000"/>
                <w:kern w:val="0"/>
                <w:sz w:val="18"/>
                <w:szCs w:val="18"/>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预算数</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1420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执行数</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1368.97</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600" w:lineRule="exact"/>
              <w:jc w:val="center"/>
              <w:rPr>
                <w:rFonts w:ascii="宋体" w:cs="宋体"/>
                <w:color w:val="000000"/>
                <w:sz w:val="18"/>
                <w:szCs w:val="18"/>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其中</w:t>
            </w:r>
            <w:r>
              <w:rPr>
                <w:rFonts w:ascii="宋体" w:cs="宋体"/>
                <w:color w:val="000000"/>
                <w:kern w:val="0"/>
                <w:sz w:val="18"/>
                <w:szCs w:val="18"/>
              </w:rPr>
              <w:t>-</w:t>
            </w:r>
            <w:r>
              <w:rPr>
                <w:rFonts w:hint="eastAsia" w:ascii="宋体" w:hAnsi="宋体" w:cs="宋体"/>
                <w:color w:val="000000"/>
                <w:kern w:val="0"/>
                <w:sz w:val="18"/>
                <w:szCs w:val="18"/>
              </w:rPr>
              <w:t>财政拨款</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1420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其中</w:t>
            </w:r>
            <w:r>
              <w:rPr>
                <w:rFonts w:ascii="宋体" w:cs="宋体"/>
                <w:color w:val="000000"/>
                <w:kern w:val="0"/>
                <w:sz w:val="18"/>
                <w:szCs w:val="18"/>
              </w:rPr>
              <w:t>-</w:t>
            </w:r>
            <w:r>
              <w:rPr>
                <w:rFonts w:hint="eastAsia" w:ascii="宋体" w:hAnsi="宋体" w:cs="宋体"/>
                <w:color w:val="000000"/>
                <w:kern w:val="0"/>
                <w:sz w:val="18"/>
                <w:szCs w:val="18"/>
              </w:rPr>
              <w:t>财政拨款</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1368.97</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600" w:lineRule="exact"/>
              <w:jc w:val="center"/>
              <w:rPr>
                <w:rFonts w:ascii="宋体" w:cs="宋体"/>
                <w:color w:val="000000"/>
                <w:sz w:val="18"/>
                <w:szCs w:val="18"/>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其它资金</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其它资金</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600" w:lineRule="exact"/>
              <w:jc w:val="center"/>
              <w:rPr>
                <w:rFonts w:ascii="宋体" w:cs="宋体"/>
                <w:color w:val="000000"/>
                <w:sz w:val="18"/>
                <w:szCs w:val="18"/>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pacing w:line="600" w:lineRule="exact"/>
              <w:jc w:val="center"/>
              <w:rPr>
                <w:rFonts w:ascii="宋体" w:cs="宋体"/>
                <w:color w:val="000000"/>
                <w:sz w:val="18"/>
                <w:szCs w:val="18"/>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为保障城市夜间交通，方便市民夜间出行，美化城市夜景，按实际需求及时缴纳德阳市城市照明设施管理处辖区内2020年度路灯电费，确保亮灯率。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按实际需求及时缴纳德阳市城市照明设施管理处辖区内2020年度路灯电费，保障城市夜间交通，方便市民夜间出行，美化城市夜景，全年综合亮灯率达99.89%。</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sz w:val="18"/>
                <w:szCs w:val="18"/>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预期指标值</w:t>
            </w:r>
            <w:r>
              <w:rPr>
                <w:rFonts w:ascii="宋体" w:hAnsi="宋体" w:cs="宋体"/>
                <w:color w:val="000000"/>
                <w:kern w:val="0"/>
                <w:sz w:val="18"/>
                <w:szCs w:val="18"/>
              </w:rPr>
              <w:t>(</w:t>
            </w:r>
            <w:r>
              <w:rPr>
                <w:rFonts w:hint="eastAsia" w:ascii="宋体" w:hAnsi="宋体" w:cs="宋体"/>
                <w:color w:val="000000"/>
                <w:kern w:val="0"/>
                <w:sz w:val="18"/>
                <w:szCs w:val="18"/>
              </w:rPr>
              <w:t>包含数字及文字描述</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实际完成指标值</w:t>
            </w:r>
            <w:r>
              <w:rPr>
                <w:rFonts w:ascii="宋体" w:hAnsi="宋体" w:cs="宋体"/>
                <w:color w:val="000000"/>
                <w:kern w:val="0"/>
                <w:sz w:val="18"/>
                <w:szCs w:val="18"/>
              </w:rPr>
              <w:t>(</w:t>
            </w:r>
            <w:r>
              <w:rPr>
                <w:rFonts w:hint="eastAsia" w:ascii="宋体" w:hAnsi="宋体" w:cs="宋体"/>
                <w:color w:val="000000"/>
                <w:kern w:val="0"/>
                <w:sz w:val="18"/>
                <w:szCs w:val="18"/>
              </w:rPr>
              <w:t>包含数字及文字描述</w:t>
            </w:r>
            <w:r>
              <w:rPr>
                <w:rFonts w:ascii="宋体" w:hAnsi="宋体" w:cs="宋体"/>
                <w:color w:val="000000"/>
                <w:kern w:val="0"/>
                <w:sz w:val="18"/>
                <w:szCs w:val="18"/>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缴纳次数</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12次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12次</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质量指标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按时交纳电费</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100%</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完成时间</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2020年12月底前</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2020年12月底前</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社会效益</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美化城市</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保障城市夜间交通</w:t>
            </w:r>
          </w:p>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方便市民夜间出行</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保障城市夜间交通</w:t>
            </w:r>
          </w:p>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方便市民夜间出行</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生态效益</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节能环保</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科学控制路灯开关灯时间，节能降耗</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科学控制路灯开关灯时间，节能降耗</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kern w:val="0"/>
                <w:sz w:val="18"/>
                <w:szCs w:val="18"/>
              </w:rPr>
            </w:pPr>
            <w:r>
              <w:rPr>
                <w:rFonts w:hint="eastAsia" w:ascii="宋体" w:hAnsi="宋体" w:cs="宋体"/>
                <w:color w:val="000000"/>
                <w:kern w:val="0"/>
                <w:sz w:val="18"/>
                <w:szCs w:val="18"/>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可持续</w:t>
            </w:r>
          </w:p>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影响</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提高城市品位</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美化城市夜景</w:t>
            </w:r>
          </w:p>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提高城市品位</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美化城市夜景</w:t>
            </w:r>
          </w:p>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提高城市品位</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hAnsi="宋体" w:cs="宋体"/>
                <w:color w:val="000000"/>
                <w:kern w:val="0"/>
                <w:sz w:val="18"/>
                <w:szCs w:val="18"/>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服务对象</w:t>
            </w:r>
          </w:p>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满意度</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公众满意度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较满意</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600" w:lineRule="exact"/>
              <w:jc w:val="center"/>
              <w:textAlignment w:val="center"/>
              <w:rPr>
                <w:rFonts w:ascii="宋体" w:cs="宋体"/>
                <w:color w:val="000000"/>
                <w:sz w:val="18"/>
                <w:szCs w:val="18"/>
              </w:rPr>
            </w:pPr>
            <w:r>
              <w:rPr>
                <w:rFonts w:hint="eastAsia" w:ascii="宋体" w:cs="宋体"/>
                <w:color w:val="000000"/>
                <w:sz w:val="18"/>
                <w:szCs w:val="18"/>
              </w:rPr>
              <w:t>较满意</w:t>
            </w:r>
          </w:p>
        </w:tc>
      </w:tr>
    </w:tbl>
    <w:p>
      <w:pPr>
        <w:spacing w:line="600" w:lineRule="exact"/>
        <w:rPr>
          <w:rFonts w:ascii="楷体_GB2312" w:hAnsi="楷体_GB2312" w:eastAsia="楷体_GB2312" w:cs="楷体_GB2312"/>
          <w:sz w:val="32"/>
          <w:szCs w:val="32"/>
        </w:rPr>
      </w:pPr>
    </w:p>
    <w:p>
      <w:pPr>
        <w:spacing w:line="600" w:lineRule="exact"/>
        <w:ind w:firstLine="480" w:firstLineChars="150"/>
        <w:rPr>
          <w:rFonts w:ascii="楷体_GB2312" w:hAnsi="楷体_GB2312" w:eastAsia="楷体_GB2312" w:cs="楷体_GB2312"/>
          <w:sz w:val="32"/>
          <w:szCs w:val="32"/>
        </w:rPr>
      </w:pPr>
      <w:r>
        <w:rPr>
          <w:rFonts w:hint="eastAsia" w:ascii="楷体_GB2312" w:hAnsi="楷体_GB2312" w:eastAsia="楷体_GB2312" w:cs="楷体_GB2312"/>
          <w:sz w:val="32"/>
          <w:szCs w:val="32"/>
        </w:rPr>
        <w:t>（4）市区东一环道路地质灾害整治项目绩效目标完成情况综述。项目全年预算数198.14万元，执行数为191.63万元，完成预算的96.71</w:t>
      </w:r>
      <w:r>
        <w:rPr>
          <w:rFonts w:ascii="楷体_GB2312" w:hAnsi="楷体_GB2312" w:eastAsia="楷体_GB2312" w:cs="楷体_GB2312"/>
          <w:sz w:val="32"/>
          <w:szCs w:val="32"/>
        </w:rPr>
        <w:t>%</w:t>
      </w:r>
      <w:r>
        <w:rPr>
          <w:rFonts w:hint="eastAsia" w:ascii="楷体_GB2312" w:hAnsi="楷体_GB2312" w:eastAsia="楷体_GB2312" w:cs="楷体_GB2312"/>
          <w:sz w:val="32"/>
          <w:szCs w:val="32"/>
        </w:rPr>
        <w:t>。通过项目实施，提高市政设施安全稳定运行，保障市民安全出行。</w:t>
      </w:r>
    </w:p>
    <w:p>
      <w:pPr>
        <w:spacing w:line="600" w:lineRule="exact"/>
        <w:rPr>
          <w:rFonts w:ascii="楷体_GB2312" w:hAnsi="楷体_GB2312" w:eastAsia="楷体_GB2312" w:cs="楷体_GB2312"/>
          <w:sz w:val="32"/>
          <w:szCs w:val="32"/>
        </w:rPr>
      </w:pPr>
      <w:r>
        <w:rPr>
          <w:rFonts w:hint="eastAsia" w:ascii="楷体_GB2312" w:hAnsi="楷体_GB2312" w:eastAsia="楷体_GB2312" w:cs="楷体_GB2312"/>
          <w:sz w:val="32"/>
          <w:szCs w:val="32"/>
        </w:rPr>
        <w:t xml:space="preserve">    </w:t>
      </w:r>
    </w:p>
    <w:tbl>
      <w:tblPr>
        <w:tblStyle w:val="15"/>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ascii="宋体" w:cs="宋体"/>
                <w:color w:val="000000"/>
                <w:sz w:val="36"/>
                <w:szCs w:val="36"/>
              </w:rPr>
            </w:pPr>
            <w:r>
              <w:rPr>
                <w:rFonts w:hint="eastAsia" w:ascii="宋体" w:hAnsi="宋体" w:cs="宋体"/>
                <w:b/>
                <w:bCs/>
                <w:color w:val="000000"/>
                <w:kern w:val="0"/>
                <w:sz w:val="36"/>
                <w:szCs w:val="36"/>
              </w:rPr>
              <w:t>项目绩效目标完成情况表</w:t>
            </w:r>
            <w:r>
              <w:rPr>
                <w:rFonts w:ascii="宋体" w:cs="宋体"/>
                <w:b/>
                <w:bCs/>
                <w:color w:val="000000"/>
                <w:kern w:val="0"/>
                <w:sz w:val="36"/>
                <w:szCs w:val="36"/>
              </w:rPr>
              <w:br w:type="textWrapping"/>
            </w:r>
            <w:r>
              <w:rPr>
                <w:rFonts w:ascii="宋体" w:hAnsi="宋体" w:cs="宋体"/>
                <w:color w:val="000000"/>
                <w:kern w:val="0"/>
                <w:sz w:val="36"/>
                <w:szCs w:val="36"/>
              </w:rPr>
              <w:t>(2020</w:t>
            </w:r>
            <w:r>
              <w:rPr>
                <w:rFonts w:hint="eastAsia" w:ascii="宋体" w:hAnsi="宋体" w:cs="宋体"/>
                <w:color w:val="000000"/>
                <w:kern w:val="0"/>
                <w:sz w:val="36"/>
                <w:szCs w:val="36"/>
              </w:rPr>
              <w:t>年度</w:t>
            </w:r>
            <w:r>
              <w:rPr>
                <w:rFonts w:ascii="宋体" w:hAnsi="宋体" w:cs="宋体"/>
                <w:color w:val="000000"/>
                <w:kern w:val="0"/>
                <w:sz w:val="36"/>
                <w:szCs w:val="36"/>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市区东一环道路地质灾害整治项目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德阳市市政工程维护管理处</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预算执行情况</w:t>
            </w:r>
            <w:r>
              <w:rPr>
                <w:rFonts w:ascii="宋体" w:hAnsi="宋体" w:cs="宋体"/>
                <w:color w:val="000000"/>
                <w:kern w:val="0"/>
                <w:sz w:val="18"/>
                <w:szCs w:val="18"/>
              </w:rPr>
              <w:t>(</w:t>
            </w:r>
            <w:r>
              <w:rPr>
                <w:rFonts w:hint="eastAsia" w:ascii="宋体" w:hAnsi="宋体" w:cs="宋体"/>
                <w:color w:val="000000"/>
                <w:kern w:val="0"/>
                <w:sz w:val="18"/>
                <w:szCs w:val="18"/>
              </w:rPr>
              <w:t>万元</w:t>
            </w:r>
            <w:r>
              <w:rPr>
                <w:rFonts w:ascii="宋体" w:hAnsi="宋体" w:cs="宋体"/>
                <w:color w:val="000000"/>
                <w:kern w:val="0"/>
                <w:sz w:val="18"/>
                <w:szCs w:val="18"/>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预算数</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198.14万元</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执行数</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191.63万元</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18"/>
                <w:szCs w:val="18"/>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其中</w:t>
            </w:r>
            <w:r>
              <w:rPr>
                <w:rFonts w:ascii="宋体" w:cs="宋体"/>
                <w:color w:val="000000"/>
                <w:kern w:val="0"/>
                <w:sz w:val="18"/>
                <w:szCs w:val="18"/>
              </w:rPr>
              <w:t>-</w:t>
            </w:r>
            <w:r>
              <w:rPr>
                <w:rFonts w:hint="eastAsia" w:ascii="宋体" w:hAnsi="宋体" w:cs="宋体"/>
                <w:color w:val="000000"/>
                <w:kern w:val="0"/>
                <w:sz w:val="18"/>
                <w:szCs w:val="18"/>
              </w:rPr>
              <w:t>财政拨款</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198.14万元</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其中</w:t>
            </w:r>
            <w:r>
              <w:rPr>
                <w:rFonts w:ascii="宋体" w:cs="宋体"/>
                <w:color w:val="000000"/>
                <w:kern w:val="0"/>
                <w:sz w:val="18"/>
                <w:szCs w:val="18"/>
              </w:rPr>
              <w:t>-</w:t>
            </w:r>
            <w:r>
              <w:rPr>
                <w:rFonts w:hint="eastAsia" w:ascii="宋体" w:hAnsi="宋体" w:cs="宋体"/>
                <w:color w:val="000000"/>
                <w:kern w:val="0"/>
                <w:sz w:val="18"/>
                <w:szCs w:val="18"/>
              </w:rPr>
              <w:t>财政拨款</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191.63万元</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18"/>
                <w:szCs w:val="18"/>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其它资金</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其它资金</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18"/>
                <w:szCs w:val="18"/>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18"/>
                <w:szCs w:val="18"/>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完成清除坡面松散堆积体约265m³、挂网喷浆约2050㎡、截排水措施修复疏通约1300m，新修挡土墙约705㎡</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前期工作已全部完成，项目施工已完成100%。</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sz w:val="18"/>
                <w:szCs w:val="18"/>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预期指标值</w:t>
            </w:r>
            <w:r>
              <w:rPr>
                <w:rFonts w:ascii="宋体" w:hAnsi="宋体" w:cs="宋体"/>
                <w:color w:val="000000"/>
                <w:kern w:val="0"/>
                <w:sz w:val="18"/>
                <w:szCs w:val="18"/>
              </w:rPr>
              <w:t>(</w:t>
            </w:r>
            <w:r>
              <w:rPr>
                <w:rFonts w:hint="eastAsia" w:ascii="宋体" w:hAnsi="宋体" w:cs="宋体"/>
                <w:color w:val="000000"/>
                <w:kern w:val="0"/>
                <w:sz w:val="18"/>
                <w:szCs w:val="18"/>
              </w:rPr>
              <w:t>包含数字及文字描述</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实际完成指标值</w:t>
            </w:r>
            <w:r>
              <w:rPr>
                <w:rFonts w:ascii="宋体" w:hAnsi="宋体" w:cs="宋体"/>
                <w:color w:val="000000"/>
                <w:kern w:val="0"/>
                <w:sz w:val="18"/>
                <w:szCs w:val="18"/>
              </w:rPr>
              <w:t>(</w:t>
            </w:r>
            <w:r>
              <w:rPr>
                <w:rFonts w:hint="eastAsia" w:ascii="宋体" w:hAnsi="宋体" w:cs="宋体"/>
                <w:color w:val="000000"/>
                <w:kern w:val="0"/>
                <w:sz w:val="18"/>
                <w:szCs w:val="18"/>
              </w:rPr>
              <w:t>包含数字及文字描述</w:t>
            </w:r>
            <w:r>
              <w:rPr>
                <w:rFonts w:ascii="宋体" w:hAnsi="宋体" w:cs="宋体"/>
                <w:color w:val="000000"/>
                <w:kern w:val="0"/>
                <w:sz w:val="18"/>
                <w:szCs w:val="18"/>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18"/>
                <w:szCs w:val="18"/>
              </w:rPr>
            </w:pPr>
            <w:r>
              <w:rPr>
                <w:rFonts w:hint="eastAsia" w:ascii="宋体" w:cs="宋体"/>
                <w:color w:val="000000"/>
                <w:sz w:val="18"/>
                <w:szCs w:val="18"/>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清除坡面松散堆积体约265m³、挂网喷浆约2050㎡、截排水措施修复疏通约1300m、新修挡土墙约705㎡</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100%完成项目</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100%完成项目</w:t>
            </w:r>
          </w:p>
        </w:tc>
      </w:tr>
      <w:tr>
        <w:tblPrEx>
          <w:tblCellMar>
            <w:top w:w="0" w:type="dxa"/>
            <w:left w:w="0" w:type="dxa"/>
            <w:bottom w:w="0" w:type="dxa"/>
            <w:right w:w="0" w:type="dxa"/>
          </w:tblCellMar>
        </w:tblPrEx>
        <w:trPr>
          <w:trHeight w:val="1025"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质量指标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设施完好率（99%）</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达到项目预期维护目标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已完成项目100%</w:t>
            </w:r>
          </w:p>
        </w:tc>
      </w:tr>
      <w:tr>
        <w:tblPrEx>
          <w:tblCellMar>
            <w:top w:w="0" w:type="dxa"/>
            <w:left w:w="0" w:type="dxa"/>
            <w:bottom w:w="0" w:type="dxa"/>
            <w:right w:w="0" w:type="dxa"/>
          </w:tblCellMar>
        </w:tblPrEx>
        <w:trPr>
          <w:trHeight w:val="684"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时效指标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资金支付进度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按合同要求支付资金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已完成项目100%</w:t>
            </w:r>
          </w:p>
        </w:tc>
      </w:tr>
      <w:tr>
        <w:tblPrEx>
          <w:tblCellMar>
            <w:top w:w="0" w:type="dxa"/>
            <w:left w:w="0" w:type="dxa"/>
            <w:bottom w:w="0" w:type="dxa"/>
            <w:right w:w="0" w:type="dxa"/>
          </w:tblCellMar>
        </w:tblPrEx>
        <w:trPr>
          <w:trHeight w:val="91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18"/>
                <w:szCs w:val="18"/>
              </w:rPr>
            </w:pPr>
            <w:r>
              <w:rPr>
                <w:rFonts w:hint="eastAsia" w:ascii="宋体" w:hAnsi="宋体" w:cs="宋体"/>
                <w:color w:val="000000"/>
                <w:kern w:val="0"/>
                <w:sz w:val="18"/>
                <w:szCs w:val="18"/>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成本指标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项目完成经财政评审控制</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项目完成经财政评审控制</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项目完成经财政评审控制</w:t>
            </w:r>
          </w:p>
        </w:tc>
      </w:tr>
      <w:tr>
        <w:tblPrEx>
          <w:tblCellMar>
            <w:top w:w="0" w:type="dxa"/>
            <w:left w:w="0" w:type="dxa"/>
            <w:bottom w:w="0" w:type="dxa"/>
            <w:right w:w="0" w:type="dxa"/>
          </w:tblCellMar>
        </w:tblPrEx>
        <w:trPr>
          <w:trHeight w:val="81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经济效益</w:t>
            </w:r>
          </w:p>
          <w:p>
            <w:pPr>
              <w:widowControl/>
              <w:jc w:val="center"/>
              <w:textAlignment w:val="center"/>
              <w:rPr>
                <w:rFonts w:ascii="宋体" w:cs="宋体"/>
                <w:color w:val="000000"/>
                <w:sz w:val="18"/>
                <w:szCs w:val="18"/>
              </w:rPr>
            </w:pPr>
            <w:r>
              <w:rPr>
                <w:rFonts w:hint="eastAsia" w:ascii="宋体" w:cs="宋体"/>
                <w:color w:val="000000"/>
                <w:sz w:val="18"/>
                <w:szCs w:val="18"/>
              </w:rPr>
              <w:t>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完善市政基础建设</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达到预期目标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已完成项目100%</w:t>
            </w:r>
          </w:p>
        </w:tc>
      </w:tr>
      <w:tr>
        <w:tblPrEx>
          <w:tblCellMar>
            <w:top w:w="0" w:type="dxa"/>
            <w:left w:w="0" w:type="dxa"/>
            <w:bottom w:w="0" w:type="dxa"/>
            <w:right w:w="0" w:type="dxa"/>
          </w:tblCellMar>
        </w:tblPrEx>
        <w:trPr>
          <w:trHeight w:val="1041"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社会效益</w:t>
            </w:r>
          </w:p>
          <w:p>
            <w:pPr>
              <w:widowControl/>
              <w:jc w:val="center"/>
              <w:textAlignment w:val="center"/>
              <w:rPr>
                <w:rFonts w:ascii="宋体" w:cs="宋体"/>
                <w:color w:val="000000"/>
                <w:sz w:val="18"/>
                <w:szCs w:val="18"/>
              </w:rPr>
            </w:pPr>
            <w:r>
              <w:rPr>
                <w:rFonts w:hint="eastAsia" w:ascii="宋体" w:cs="宋体"/>
                <w:color w:val="000000"/>
                <w:sz w:val="18"/>
                <w:szCs w:val="18"/>
              </w:rPr>
              <w:t>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完善市政基础建设</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达到预期目标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已完成项目100%</w:t>
            </w:r>
          </w:p>
        </w:tc>
      </w:tr>
      <w:tr>
        <w:tblPrEx>
          <w:tblCellMar>
            <w:top w:w="0" w:type="dxa"/>
            <w:left w:w="0" w:type="dxa"/>
            <w:bottom w:w="0" w:type="dxa"/>
            <w:right w:w="0" w:type="dxa"/>
          </w:tblCellMar>
        </w:tblPrEx>
        <w:trPr>
          <w:trHeight w:val="1116"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效益指标</w:t>
            </w:r>
          </w:p>
          <w:p>
            <w:pPr>
              <w:widowControl/>
              <w:jc w:val="center"/>
              <w:textAlignment w:val="center"/>
              <w:rPr>
                <w:rFonts w:ascii="宋体" w:cs="宋体"/>
                <w:color w:val="000000"/>
                <w:kern w:val="0"/>
                <w:sz w:val="18"/>
                <w:szCs w:val="18"/>
              </w:rPr>
            </w:pP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生态效益</w:t>
            </w:r>
          </w:p>
          <w:p>
            <w:pPr>
              <w:widowControl/>
              <w:jc w:val="center"/>
              <w:textAlignment w:val="center"/>
              <w:rPr>
                <w:rFonts w:ascii="宋体" w:cs="宋体"/>
                <w:color w:val="000000"/>
                <w:sz w:val="18"/>
                <w:szCs w:val="18"/>
              </w:rPr>
            </w:pPr>
            <w:r>
              <w:rPr>
                <w:rFonts w:hint="eastAsia" w:ascii="宋体" w:cs="宋体"/>
                <w:color w:val="000000"/>
                <w:sz w:val="18"/>
                <w:szCs w:val="18"/>
              </w:rPr>
              <w:t>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设施完好率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达到预期目标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已完成项目100%</w:t>
            </w:r>
          </w:p>
        </w:tc>
      </w:tr>
      <w:tr>
        <w:tblPrEx>
          <w:tblCellMar>
            <w:top w:w="0" w:type="dxa"/>
            <w:left w:w="0" w:type="dxa"/>
            <w:bottom w:w="0" w:type="dxa"/>
            <w:right w:w="0" w:type="dxa"/>
          </w:tblCellMar>
        </w:tblPrEx>
        <w:trPr>
          <w:trHeight w:val="1078"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rPr>
              <w:t>效益指标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可持续影响</w:t>
            </w:r>
          </w:p>
          <w:p>
            <w:pPr>
              <w:widowControl/>
              <w:jc w:val="center"/>
              <w:textAlignment w:val="center"/>
              <w:rPr>
                <w:rFonts w:ascii="宋体" w:cs="宋体"/>
                <w:color w:val="000000"/>
                <w:sz w:val="18"/>
                <w:szCs w:val="18"/>
              </w:rPr>
            </w:pPr>
            <w:r>
              <w:rPr>
                <w:rFonts w:hint="eastAsia" w:ascii="宋体" w:cs="宋体"/>
                <w:color w:val="000000"/>
                <w:sz w:val="18"/>
                <w:szCs w:val="18"/>
              </w:rPr>
              <w:t>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工程运行情况</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良好</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已完成项目100%</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满意度指标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服务对象满意度、项目主管部门满意度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≥100%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已完成项目100%</w:t>
            </w:r>
          </w:p>
        </w:tc>
      </w:tr>
    </w:tbl>
    <w:p>
      <w:pPr>
        <w:spacing w:line="580" w:lineRule="exact"/>
        <w:ind w:left="630"/>
        <w:rPr>
          <w:rFonts w:ascii="仿宋_GB2312" w:hAnsi="仿宋_GB2312" w:eastAsia="仿宋_GB2312" w:cs="仿宋_GB2312"/>
          <w:sz w:val="32"/>
          <w:szCs w:val="32"/>
        </w:rPr>
      </w:pP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（5）生活垃圾停止进场后渗滤液处置及填埋场维护项目绩效目标完成情况综述。项目全年预算数1497.84万元（含年初结转和结余资金297.84万元），执行数为1497.84万元，完成预算的100</w:t>
      </w:r>
      <w:r>
        <w:rPr>
          <w:rFonts w:ascii="楷体_GB2312" w:hAnsi="楷体_GB2312" w:eastAsia="楷体_GB2312" w:cs="楷体_GB2312"/>
          <w:sz w:val="32"/>
          <w:szCs w:val="32"/>
        </w:rPr>
        <w:t>%</w:t>
      </w:r>
      <w:r>
        <w:rPr>
          <w:rFonts w:hint="eastAsia" w:ascii="楷体_GB2312" w:hAnsi="楷体_GB2312" w:eastAsia="楷体_GB2312" w:cs="楷体_GB2312"/>
          <w:sz w:val="32"/>
          <w:szCs w:val="32"/>
        </w:rPr>
        <w:t>。通过项目实施，保障生活垃圾停止进场后渗滤液处置及填埋场维护服务项目正常运行，提高环境卫生质量，生活垃圾无害化处置率100%，无环境污染事件发生。发现的主要问题：绩效目标设定不够细化量化、项目月度考核资料不够完善。下一步改进措施：①细化工作计划，落实工作目标。细化工作计划，明确责任主体，层层落实控制任务，提高项目资金使用效益，更好地实现垃圾“无害化、资源化、减量化”目标。②加强项目监管，保障进度效果。进一步加大项目的监管力度，细化考核点，工作台账清晰、完整，做到有制度考核、有资金维护、有人员监管，形成规范化的运行监管机制。</w:t>
      </w:r>
    </w:p>
    <w:tbl>
      <w:tblPr>
        <w:tblStyle w:val="15"/>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68"/>
        <w:gridCol w:w="2324"/>
        <w:gridCol w:w="2394"/>
        <w:gridCol w:w="2392"/>
      </w:tblGrid>
      <w:tr>
        <w:tblPrEx>
          <w:tblCellMar>
            <w:top w:w="0" w:type="dxa"/>
            <w:left w:w="0" w:type="dxa"/>
            <w:bottom w:w="0" w:type="dxa"/>
            <w:right w:w="0" w:type="dxa"/>
          </w:tblCellMar>
        </w:tblPrEx>
        <w:trPr>
          <w:trHeight w:val="1034" w:hRule="atLeast"/>
          <w:jc w:val="center"/>
        </w:trPr>
        <w:tc>
          <w:tcPr>
            <w:tcW w:w="9960" w:type="dxa"/>
            <w:gridSpan w:val="7"/>
            <w:tcBorders>
              <w:top w:val="nil"/>
              <w:left w:val="nil"/>
              <w:bottom w:val="nil"/>
              <w:right w:val="nil"/>
            </w:tcBorders>
            <w:tcMar>
              <w:top w:w="15" w:type="dxa"/>
              <w:left w:w="15" w:type="dxa"/>
              <w:right w:w="15" w:type="dxa"/>
            </w:tcMar>
            <w:vAlign w:val="center"/>
          </w:tcPr>
          <w:p>
            <w:pPr>
              <w:widowControl/>
              <w:jc w:val="center"/>
              <w:textAlignment w:val="center"/>
              <w:rPr>
                <w:rFonts w:ascii="宋体" w:cs="宋体"/>
                <w:color w:val="000000"/>
                <w:sz w:val="36"/>
                <w:szCs w:val="36"/>
              </w:rPr>
            </w:pPr>
            <w:r>
              <w:rPr>
                <w:rFonts w:hint="eastAsia" w:ascii="宋体" w:hAnsi="宋体" w:cs="宋体"/>
                <w:b/>
                <w:bCs/>
                <w:color w:val="000000"/>
                <w:kern w:val="0"/>
                <w:sz w:val="36"/>
                <w:szCs w:val="36"/>
              </w:rPr>
              <w:t>项目绩效目标完成情况表</w:t>
            </w:r>
            <w:r>
              <w:rPr>
                <w:rFonts w:ascii="宋体" w:cs="宋体"/>
                <w:b/>
                <w:bCs/>
                <w:color w:val="000000"/>
                <w:kern w:val="0"/>
                <w:sz w:val="36"/>
                <w:szCs w:val="36"/>
              </w:rPr>
              <w:br w:type="textWrapping"/>
            </w:r>
            <w:r>
              <w:rPr>
                <w:rFonts w:ascii="宋体" w:hAnsi="宋体" w:cs="宋体"/>
                <w:color w:val="000000"/>
                <w:kern w:val="0"/>
                <w:sz w:val="36"/>
                <w:szCs w:val="36"/>
              </w:rPr>
              <w:t>(2020</w:t>
            </w:r>
            <w:r>
              <w:rPr>
                <w:rFonts w:hint="eastAsia" w:ascii="宋体" w:hAnsi="宋体" w:cs="宋体"/>
                <w:color w:val="000000"/>
                <w:kern w:val="0"/>
                <w:sz w:val="36"/>
                <w:szCs w:val="36"/>
              </w:rPr>
              <w:t>年度</w:t>
            </w:r>
            <w:r>
              <w:rPr>
                <w:rFonts w:ascii="宋体" w:hAnsi="宋体" w:cs="宋体"/>
                <w:color w:val="000000"/>
                <w:kern w:val="0"/>
                <w:sz w:val="36"/>
                <w:szCs w:val="36"/>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项目名称</w:t>
            </w:r>
          </w:p>
        </w:tc>
        <w:tc>
          <w:tcPr>
            <w:tcW w:w="7178"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生活垃圾停止进场后的渗滤液处置以及填埋场维护管理服务费用</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预算单位</w:t>
            </w:r>
          </w:p>
        </w:tc>
        <w:tc>
          <w:tcPr>
            <w:tcW w:w="7178"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德阳市市容环境卫生管理处</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预算执行情况</w:t>
            </w:r>
            <w:r>
              <w:rPr>
                <w:rFonts w:ascii="宋体" w:hAnsi="宋体" w:cs="宋体"/>
                <w:color w:val="000000"/>
                <w:kern w:val="0"/>
                <w:sz w:val="18"/>
                <w:szCs w:val="18"/>
              </w:rPr>
              <w:t>(</w:t>
            </w:r>
            <w:r>
              <w:rPr>
                <w:rFonts w:hint="eastAsia" w:ascii="宋体" w:hAnsi="宋体" w:cs="宋体"/>
                <w:color w:val="000000"/>
                <w:kern w:val="0"/>
                <w:sz w:val="18"/>
                <w:szCs w:val="18"/>
              </w:rPr>
              <w:t>万元</w:t>
            </w:r>
            <w:r>
              <w:rPr>
                <w:rFonts w:ascii="宋体" w:hAnsi="宋体" w:cs="宋体"/>
                <w:color w:val="000000"/>
                <w:kern w:val="0"/>
                <w:sz w:val="18"/>
                <w:szCs w:val="18"/>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预算数</w:t>
            </w:r>
            <w:r>
              <w:rPr>
                <w:rFonts w:ascii="宋体" w:hAnsi="宋体" w:cs="宋体"/>
                <w:color w:val="000000"/>
                <w:kern w:val="0"/>
                <w:sz w:val="18"/>
                <w:szCs w:val="18"/>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1497.84</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执行数</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1497.84</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18"/>
                <w:szCs w:val="18"/>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其中</w:t>
            </w:r>
            <w:r>
              <w:rPr>
                <w:rFonts w:ascii="宋体" w:cs="宋体"/>
                <w:color w:val="000000"/>
                <w:kern w:val="0"/>
                <w:sz w:val="18"/>
                <w:szCs w:val="18"/>
              </w:rPr>
              <w:t>-</w:t>
            </w:r>
            <w:r>
              <w:rPr>
                <w:rFonts w:hint="eastAsia" w:ascii="宋体" w:hAnsi="宋体" w:cs="宋体"/>
                <w:color w:val="000000"/>
                <w:kern w:val="0"/>
                <w:sz w:val="18"/>
                <w:szCs w:val="18"/>
              </w:rPr>
              <w:t>财政拨款</w:t>
            </w:r>
            <w:r>
              <w:rPr>
                <w:rFonts w:ascii="宋体" w:hAnsi="宋体" w:cs="宋体"/>
                <w:color w:val="000000"/>
                <w:kern w:val="0"/>
                <w:sz w:val="18"/>
                <w:szCs w:val="18"/>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297.84</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其中</w:t>
            </w:r>
            <w:r>
              <w:rPr>
                <w:rFonts w:ascii="宋体" w:cs="宋体"/>
                <w:color w:val="000000"/>
                <w:kern w:val="0"/>
                <w:sz w:val="18"/>
                <w:szCs w:val="18"/>
              </w:rPr>
              <w:t>-</w:t>
            </w:r>
            <w:r>
              <w:rPr>
                <w:rFonts w:hint="eastAsia" w:ascii="宋体" w:hAnsi="宋体" w:cs="宋体"/>
                <w:color w:val="000000"/>
                <w:kern w:val="0"/>
                <w:sz w:val="18"/>
                <w:szCs w:val="18"/>
              </w:rPr>
              <w:t>财政拨款</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297.84</w:t>
            </w:r>
          </w:p>
        </w:tc>
      </w:tr>
      <w:tr>
        <w:tblPrEx>
          <w:tblCellMar>
            <w:top w:w="0" w:type="dxa"/>
            <w:left w:w="0" w:type="dxa"/>
            <w:bottom w:w="0" w:type="dxa"/>
            <w:right w:w="0" w:type="dxa"/>
          </w:tblCellMar>
        </w:tblPrEx>
        <w:trPr>
          <w:trHeight w:val="260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18"/>
                <w:szCs w:val="18"/>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其它资金</w:t>
            </w:r>
            <w:r>
              <w:rPr>
                <w:rFonts w:ascii="宋体" w:hAnsi="宋体" w:cs="宋体"/>
                <w:color w:val="000000"/>
                <w:kern w:val="0"/>
                <w:sz w:val="18"/>
                <w:szCs w:val="18"/>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1200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其它资金</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18"/>
                <w:szCs w:val="18"/>
              </w:rPr>
            </w:pPr>
            <w:r>
              <w:rPr>
                <w:rFonts w:hint="eastAsia" w:ascii="宋体" w:cs="宋体"/>
                <w:color w:val="000000"/>
                <w:sz w:val="18"/>
                <w:szCs w:val="18"/>
              </w:rPr>
              <w:t>1200</w:t>
            </w: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年度目标完成情况</w:t>
            </w:r>
          </w:p>
        </w:tc>
        <w:tc>
          <w:tcPr>
            <w:tcW w:w="4784"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实际完成目标</w:t>
            </w:r>
          </w:p>
        </w:tc>
      </w:tr>
      <w:tr>
        <w:tblPrEx>
          <w:tblCellMar>
            <w:top w:w="0" w:type="dxa"/>
            <w:left w:w="0" w:type="dxa"/>
            <w:bottom w:w="0" w:type="dxa"/>
            <w:right w:w="0" w:type="dxa"/>
          </w:tblCellMar>
        </w:tblPrEx>
        <w:trPr>
          <w:trHeight w:val="4602"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18"/>
                <w:szCs w:val="18"/>
              </w:rPr>
            </w:pPr>
          </w:p>
        </w:tc>
        <w:tc>
          <w:tcPr>
            <w:tcW w:w="4784"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18"/>
                <w:szCs w:val="18"/>
              </w:rPr>
            </w:pPr>
            <w:r>
              <w:rPr>
                <w:rFonts w:hint="eastAsia" w:ascii="宋体" w:cs="宋体"/>
                <w:color w:val="000000"/>
                <w:sz w:val="18"/>
                <w:szCs w:val="18"/>
              </w:rPr>
              <w:t xml:space="preserve">    完成2020年度生活垃圾停止进场后的渗滤液处置以及填埋场维护管理服务的监管工作，保障生活垃圾无害化处理率100%。</w:t>
            </w:r>
          </w:p>
          <w:p>
            <w:pPr>
              <w:widowControl/>
              <w:ind w:firstLine="360" w:firstLineChars="200"/>
              <w:textAlignment w:val="center"/>
              <w:rPr>
                <w:rFonts w:ascii="宋体" w:cs="宋体"/>
                <w:color w:val="000000"/>
                <w:sz w:val="18"/>
                <w:szCs w:val="18"/>
              </w:rPr>
            </w:pPr>
            <w:r>
              <w:rPr>
                <w:rFonts w:hint="eastAsia" w:ascii="宋体" w:cs="宋体"/>
                <w:color w:val="000000"/>
                <w:sz w:val="18"/>
                <w:szCs w:val="18"/>
              </w:rPr>
              <w:t>渗滤液处置有偿服务费标准为263.42元/吨，处置量由我处根据德阳市生态环境局认定的污水排放量，结合处置服务管理得分，核定当月有偿服务费金额；生活垃圾停止进场后填埋场维护管理服务总费用为5817662.49元（即484805.21元/月）；我处根据填埋场维护管理服务管理得分，核定当月有偿服务费金额。</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18"/>
                <w:szCs w:val="18"/>
              </w:rPr>
            </w:pPr>
            <w:r>
              <w:rPr>
                <w:rFonts w:hint="eastAsia" w:ascii="宋体" w:cs="宋体"/>
                <w:color w:val="000000"/>
                <w:sz w:val="18"/>
                <w:szCs w:val="18"/>
              </w:rPr>
              <w:t>2020年，生活垃圾停止进场后渗滤液处置及填埋场维护项目运行正常，渗滤液处置后出水水质达到《生活垃圾卫生填埋场污染控制标准》（GB16889-2008表2规定的排放标准）；填埋场维护运行符合《生活垃圾卫生填埋运行维护技术规程》（CJJ93-2011）相关规定及《生活垃圾停止进场后渗滤液处置服务合同》、《生活垃圾停止进场后填埋场维护管理服务合同》约定内容。</w:t>
            </w:r>
          </w:p>
          <w:p>
            <w:pPr>
              <w:widowControl/>
              <w:ind w:firstLine="360" w:firstLineChars="200"/>
              <w:jc w:val="left"/>
              <w:textAlignment w:val="center"/>
              <w:rPr>
                <w:rFonts w:ascii="宋体" w:cs="宋体"/>
                <w:color w:val="000000"/>
                <w:sz w:val="18"/>
                <w:szCs w:val="18"/>
              </w:rPr>
            </w:pPr>
            <w:r>
              <w:rPr>
                <w:rFonts w:hint="eastAsia" w:ascii="宋体" w:cs="宋体"/>
                <w:color w:val="000000"/>
                <w:sz w:val="18"/>
                <w:szCs w:val="18"/>
              </w:rPr>
              <w:t>经市生态环境局核实，德阳市固体废物处置有限公司2019年11月至2020年10月渗滤液有效处理量为40669.7386吨；生活垃圾停止进场后渗滤液处置以及填埋场维护项目运行正常，考核分数均超过90分，无害化处理率100%，符合全额拨款标准。</w:t>
            </w:r>
          </w:p>
          <w:p>
            <w:pPr>
              <w:widowControl/>
              <w:ind w:firstLine="360" w:firstLineChars="200"/>
              <w:jc w:val="left"/>
              <w:textAlignment w:val="center"/>
              <w:rPr>
                <w:rFonts w:ascii="宋体" w:cs="宋体"/>
                <w:color w:val="000000"/>
                <w:sz w:val="18"/>
                <w:szCs w:val="18"/>
              </w:rPr>
            </w:pPr>
            <w:r>
              <w:rPr>
                <w:rFonts w:hint="eastAsia" w:ascii="宋体" w:cs="宋体"/>
                <w:color w:val="000000"/>
                <w:sz w:val="18"/>
                <w:szCs w:val="18"/>
              </w:rPr>
              <w:t>渗滤液处置费共计10713222.54元，填埋场维护费5817662.49元。按照2020年预算资金计划，2020年该项目实际共支付14978361.92元（含2019年渗滤液处置未付款427280.96元），2020年未支付费用1979804.07元纳入2021年预算。</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sz w:val="18"/>
                <w:szCs w:val="18"/>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一级指标</w:t>
            </w:r>
          </w:p>
        </w:tc>
        <w:tc>
          <w:tcPr>
            <w:tcW w:w="109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二级指标</w:t>
            </w:r>
          </w:p>
        </w:tc>
        <w:tc>
          <w:tcPr>
            <w:tcW w:w="23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预期指标值</w:t>
            </w:r>
            <w:r>
              <w:rPr>
                <w:rFonts w:ascii="宋体" w:hAnsi="宋体" w:cs="宋体"/>
                <w:color w:val="000000"/>
                <w:kern w:val="0"/>
                <w:sz w:val="18"/>
                <w:szCs w:val="18"/>
              </w:rPr>
              <w:t>(</w:t>
            </w:r>
            <w:r>
              <w:rPr>
                <w:rFonts w:hint="eastAsia" w:ascii="宋体" w:hAnsi="宋体" w:cs="宋体"/>
                <w:color w:val="000000"/>
                <w:kern w:val="0"/>
                <w:sz w:val="18"/>
                <w:szCs w:val="18"/>
              </w:rPr>
              <w:t>包含数字及文字描述</w:t>
            </w:r>
            <w:r>
              <w:rPr>
                <w:rFonts w:ascii="宋体" w:hAnsi="宋体" w:cs="宋体"/>
                <w:color w:val="000000"/>
                <w:kern w:val="0"/>
                <w:sz w:val="18"/>
                <w:szCs w:val="18"/>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实际完成指标值</w:t>
            </w:r>
            <w:r>
              <w:rPr>
                <w:rFonts w:ascii="宋体" w:hAnsi="宋体" w:cs="宋体"/>
                <w:color w:val="000000"/>
                <w:kern w:val="0"/>
                <w:sz w:val="18"/>
                <w:szCs w:val="18"/>
              </w:rPr>
              <w:t>(</w:t>
            </w:r>
            <w:r>
              <w:rPr>
                <w:rFonts w:hint="eastAsia" w:ascii="宋体" w:hAnsi="宋体" w:cs="宋体"/>
                <w:color w:val="000000"/>
                <w:kern w:val="0"/>
                <w:sz w:val="18"/>
                <w:szCs w:val="18"/>
              </w:rPr>
              <w:t>包含数字及文字描述</w:t>
            </w:r>
            <w:r>
              <w:rPr>
                <w:rFonts w:ascii="宋体" w:hAnsi="宋体" w:cs="宋体"/>
                <w:color w:val="000000"/>
                <w:kern w:val="0"/>
                <w:sz w:val="18"/>
                <w:szCs w:val="18"/>
              </w:rPr>
              <w:t>)</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项目完成指标</w:t>
            </w:r>
          </w:p>
        </w:tc>
        <w:tc>
          <w:tcPr>
            <w:tcW w:w="109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数量指标</w:t>
            </w:r>
          </w:p>
        </w:tc>
        <w:tc>
          <w:tcPr>
            <w:tcW w:w="23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渗滤液处置量</w:t>
            </w:r>
            <w:r>
              <w:rPr>
                <w:rFonts w:hint="eastAsia" w:ascii="宋体" w:cs="宋体"/>
                <w:color w:val="000000"/>
                <w:sz w:val="18"/>
                <w:szCs w:val="18"/>
              </w:rPr>
              <w:tab/>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根据德阳市生态环境局认定的污水排放量进行结算</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cs="宋体"/>
                <w:color w:val="000000"/>
                <w:sz w:val="18"/>
                <w:szCs w:val="18"/>
              </w:rPr>
            </w:pPr>
            <w:r>
              <w:rPr>
                <w:rFonts w:hint="eastAsia" w:ascii="宋体" w:cs="宋体"/>
                <w:color w:val="000000"/>
                <w:sz w:val="18"/>
                <w:szCs w:val="18"/>
              </w:rPr>
              <w:t>经市生态环境局核实，德阳市固体废物处置有限公司2019年11月至2020年10月渗滤液有效处理量为40669.7386吨（2020年渗滤液处理缺口经费纳入2021年预算）</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项目完成指标</w:t>
            </w:r>
          </w:p>
        </w:tc>
        <w:tc>
          <w:tcPr>
            <w:tcW w:w="109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数量指标</w:t>
            </w:r>
          </w:p>
        </w:tc>
        <w:tc>
          <w:tcPr>
            <w:tcW w:w="23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填埋场维护管理服务</w:t>
            </w:r>
            <w:r>
              <w:rPr>
                <w:rFonts w:hint="eastAsia" w:ascii="宋体" w:cs="宋体"/>
                <w:color w:val="000000"/>
                <w:sz w:val="18"/>
                <w:szCs w:val="18"/>
              </w:rPr>
              <w:tab/>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根据填埋场维护管理服务管理得分，核定当月有偿服务费金额，月结季付</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填埋场维护项目运行正常，考核分数均超过90分，符合全额拨款标准</w:t>
            </w:r>
          </w:p>
        </w:tc>
      </w:tr>
      <w:tr>
        <w:tblPrEx>
          <w:tblCellMar>
            <w:top w:w="0" w:type="dxa"/>
            <w:left w:w="0" w:type="dxa"/>
            <w:bottom w:w="0" w:type="dxa"/>
            <w:right w:w="0" w:type="dxa"/>
          </w:tblCellMar>
        </w:tblPrEx>
        <w:trPr>
          <w:trHeight w:val="489"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项目完成指标</w:t>
            </w:r>
          </w:p>
        </w:tc>
        <w:tc>
          <w:tcPr>
            <w:tcW w:w="109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质量指标</w:t>
            </w:r>
          </w:p>
        </w:tc>
        <w:tc>
          <w:tcPr>
            <w:tcW w:w="23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无害化处置率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100%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100%</w:t>
            </w:r>
          </w:p>
        </w:tc>
      </w:tr>
      <w:tr>
        <w:tblPrEx>
          <w:tblCellMar>
            <w:top w:w="0" w:type="dxa"/>
            <w:left w:w="0" w:type="dxa"/>
            <w:bottom w:w="0" w:type="dxa"/>
            <w:right w:w="0" w:type="dxa"/>
          </w:tblCellMar>
        </w:tblPrEx>
        <w:trPr>
          <w:trHeight w:val="539"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项目完成指标</w:t>
            </w:r>
          </w:p>
        </w:tc>
        <w:tc>
          <w:tcPr>
            <w:tcW w:w="109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质量指标</w:t>
            </w:r>
          </w:p>
        </w:tc>
        <w:tc>
          <w:tcPr>
            <w:tcW w:w="23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Calibri"/>
                <w:sz w:val="18"/>
                <w:szCs w:val="18"/>
              </w:rPr>
            </w:pPr>
            <w:r>
              <w:rPr>
                <w:rFonts w:hint="eastAsia" w:cs="Calibri"/>
                <w:sz w:val="18"/>
                <w:szCs w:val="18"/>
              </w:rPr>
              <w:t>工作完成率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Calibri"/>
                <w:sz w:val="18"/>
                <w:szCs w:val="18"/>
              </w:rPr>
            </w:pPr>
            <w:r>
              <w:rPr>
                <w:rFonts w:hint="eastAsia" w:cs="Calibri"/>
                <w:sz w:val="18"/>
                <w:szCs w:val="18"/>
              </w:rPr>
              <w:t>100%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100%</w:t>
            </w:r>
          </w:p>
        </w:tc>
      </w:tr>
      <w:tr>
        <w:tblPrEx>
          <w:tblCellMar>
            <w:top w:w="0" w:type="dxa"/>
            <w:left w:w="0" w:type="dxa"/>
            <w:bottom w:w="0" w:type="dxa"/>
            <w:right w:w="0" w:type="dxa"/>
          </w:tblCellMar>
        </w:tblPrEx>
        <w:trPr>
          <w:trHeight w:val="391"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项目完成指标</w:t>
            </w:r>
          </w:p>
        </w:tc>
        <w:tc>
          <w:tcPr>
            <w:tcW w:w="109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时效指标</w:t>
            </w:r>
          </w:p>
        </w:tc>
        <w:tc>
          <w:tcPr>
            <w:tcW w:w="23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完成时间</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按相关约定合同完成</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按相关约定合同完成</w:t>
            </w:r>
          </w:p>
        </w:tc>
      </w:tr>
      <w:tr>
        <w:tblPrEx>
          <w:tblCellMar>
            <w:top w:w="0" w:type="dxa"/>
            <w:left w:w="0" w:type="dxa"/>
            <w:bottom w:w="0" w:type="dxa"/>
            <w:right w:w="0" w:type="dxa"/>
          </w:tblCellMar>
        </w:tblPrEx>
        <w:trPr>
          <w:trHeight w:val="398"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kern w:val="0"/>
                <w:sz w:val="18"/>
                <w:szCs w:val="18"/>
              </w:rPr>
            </w:pPr>
            <w:r>
              <w:rPr>
                <w:rFonts w:hint="eastAsia" w:ascii="宋体" w:hAnsi="宋体" w:cs="宋体"/>
                <w:color w:val="000000"/>
                <w:kern w:val="0"/>
                <w:sz w:val="18"/>
                <w:szCs w:val="18"/>
              </w:rPr>
              <w:t>项目完成指标</w:t>
            </w:r>
          </w:p>
        </w:tc>
        <w:tc>
          <w:tcPr>
            <w:tcW w:w="109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成本指标</w:t>
            </w:r>
          </w:p>
        </w:tc>
        <w:tc>
          <w:tcPr>
            <w:tcW w:w="23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项目预算资金</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≤1497.84万元</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1497.84万元</w:t>
            </w:r>
          </w:p>
        </w:tc>
      </w:tr>
      <w:tr>
        <w:tblPrEx>
          <w:tblCellMar>
            <w:top w:w="0" w:type="dxa"/>
            <w:left w:w="0" w:type="dxa"/>
            <w:bottom w:w="0" w:type="dxa"/>
            <w:right w:w="0" w:type="dxa"/>
          </w:tblCellMar>
        </w:tblPrEx>
        <w:trPr>
          <w:trHeight w:val="546"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效益指标</w:t>
            </w:r>
          </w:p>
        </w:tc>
        <w:tc>
          <w:tcPr>
            <w:tcW w:w="109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社会效益</w:t>
            </w:r>
          </w:p>
        </w:tc>
        <w:tc>
          <w:tcPr>
            <w:tcW w:w="23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创建优美的城市环境</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提高生活垃圾无害化处置</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无害化处置率100%</w:t>
            </w:r>
          </w:p>
        </w:tc>
      </w:tr>
      <w:tr>
        <w:tblPrEx>
          <w:tblCellMar>
            <w:top w:w="0" w:type="dxa"/>
            <w:left w:w="0" w:type="dxa"/>
            <w:bottom w:w="0" w:type="dxa"/>
            <w:right w:w="0" w:type="dxa"/>
          </w:tblCellMar>
        </w:tblPrEx>
        <w:trPr>
          <w:trHeight w:val="54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效益指标</w:t>
            </w:r>
          </w:p>
        </w:tc>
        <w:tc>
          <w:tcPr>
            <w:tcW w:w="109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生态效益指标</w:t>
            </w:r>
          </w:p>
        </w:tc>
        <w:tc>
          <w:tcPr>
            <w:tcW w:w="23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改善环境质量</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无环境污染事件发生</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达到预期目标</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bottom w:val="single" w:color="auto"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hAnsi="宋体" w:cs="宋体"/>
                <w:color w:val="000000"/>
                <w:kern w:val="0"/>
                <w:sz w:val="18"/>
                <w:szCs w:val="18"/>
              </w:rPr>
              <w:t>满意度指标</w:t>
            </w:r>
          </w:p>
        </w:tc>
        <w:tc>
          <w:tcPr>
            <w:tcW w:w="109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满意度</w:t>
            </w:r>
          </w:p>
        </w:tc>
        <w:tc>
          <w:tcPr>
            <w:tcW w:w="232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服务对象的满意度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≥90%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18"/>
                <w:szCs w:val="18"/>
              </w:rPr>
            </w:pPr>
            <w:r>
              <w:rPr>
                <w:rFonts w:hint="eastAsia" w:ascii="宋体" w:cs="宋体"/>
                <w:color w:val="000000"/>
                <w:sz w:val="18"/>
                <w:szCs w:val="18"/>
              </w:rPr>
              <w:t>达到预期目标</w:t>
            </w:r>
          </w:p>
        </w:tc>
      </w:tr>
    </w:tbl>
    <w:p>
      <w:pPr>
        <w:spacing w:line="600" w:lineRule="exact"/>
        <w:rPr>
          <w:rFonts w:ascii="楷体_GB2312" w:hAnsi="楷体_GB2312" w:eastAsia="楷体_GB2312" w:cs="楷体_GB2312"/>
          <w:sz w:val="32"/>
          <w:szCs w:val="32"/>
        </w:rPr>
      </w:pPr>
    </w:p>
    <w:p>
      <w:pPr>
        <w:spacing w:line="600" w:lineRule="exact"/>
        <w:rPr>
          <w:rFonts w:ascii="仿宋_GB2312" w:hAnsi="仿宋_GB2312" w:eastAsia="仿宋_GB2312" w:cs="仿宋_GB2312"/>
          <w:sz w:val="32"/>
          <w:szCs w:val="32"/>
        </w:rPr>
      </w:pPr>
      <w:r>
        <w:rPr>
          <w:rFonts w:ascii="楷体_GB2312" w:hAnsi="楷体_GB2312" w:eastAsia="楷体_GB2312" w:cs="楷体_GB2312"/>
          <w:sz w:val="32"/>
          <w:szCs w:val="32"/>
        </w:rPr>
        <w:t>2.</w:t>
      </w:r>
      <w:r>
        <w:rPr>
          <w:rFonts w:hint="eastAsia" w:ascii="楷体_GB2312" w:hAnsi="楷体_GB2312" w:eastAsia="楷体_GB2312" w:cs="楷体_GB2312"/>
          <w:sz w:val="32"/>
          <w:szCs w:val="32"/>
        </w:rPr>
        <w:t>部门绩效评价结果。</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年部门整体支出绩效评价情况开展自评，《德阳市城市管理行政执法局</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年部门整体支出绩效评价报告》见附件。</w:t>
      </w:r>
    </w:p>
    <w:p>
      <w:pPr>
        <w:spacing w:line="600" w:lineRule="exact"/>
        <w:ind w:firstLine="640" w:firstLineChars="200"/>
        <w:rPr>
          <w:rFonts w:ascii="仿宋_GB2312" w:eastAsia="仿宋_GB2312"/>
          <w:b/>
          <w:color w:val="000000"/>
          <w:sz w:val="32"/>
          <w:szCs w:val="32"/>
        </w:rPr>
      </w:pPr>
      <w:r>
        <w:rPr>
          <w:rFonts w:hint="eastAsia" w:ascii="仿宋_GB2312" w:hAnsi="仿宋_GB2312" w:eastAsia="仿宋_GB2312" w:cs="仿宋_GB2312"/>
          <w:sz w:val="32"/>
          <w:szCs w:val="32"/>
        </w:rPr>
        <w:t>本部门自行组织对 “生活垃圾焚烧处置”、 “公园节日氛围营造费</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 “城市路灯电费项目”等开展了绩效评价见各部门决算公开附件。</w:t>
      </w:r>
    </w:p>
    <w:p>
      <w:pPr>
        <w:spacing w:line="600" w:lineRule="exact"/>
        <w:rPr>
          <w:rFonts w:ascii="仿宋_GB2312" w:hAnsi="仿宋_GB2312" w:eastAsia="仿宋_GB2312" w:cs="仿宋_GB2312"/>
          <w:sz w:val="18"/>
          <w:szCs w:val="18"/>
        </w:rPr>
      </w:pPr>
    </w:p>
    <w:p>
      <w:pPr>
        <w:spacing w:line="600" w:lineRule="exact"/>
        <w:rPr>
          <w:rFonts w:ascii="仿宋_GB2312" w:hAnsi="仿宋_GB2312" w:eastAsia="仿宋_GB2312" w:cs="仿宋_GB2312"/>
          <w:sz w:val="18"/>
          <w:szCs w:val="18"/>
        </w:rPr>
      </w:pPr>
    </w:p>
    <w:p>
      <w:pPr>
        <w:pStyle w:val="8"/>
        <w:rPr>
          <w:rFonts w:ascii="仿宋_GB2312" w:hAnsi="仿宋_GB2312" w:eastAsia="仿宋_GB2312" w:cs="仿宋_GB2312"/>
          <w:sz w:val="18"/>
          <w:szCs w:val="18"/>
        </w:rPr>
      </w:pPr>
    </w:p>
    <w:p>
      <w:pPr>
        <w:spacing w:line="600" w:lineRule="exact"/>
        <w:ind w:firstLine="2209" w:firstLineChars="500"/>
        <w:outlineLvl w:val="0"/>
        <w:rPr>
          <w:rStyle w:val="22"/>
          <w:rFonts w:ascii="黑体" w:hAnsi="黑体" w:eastAsia="黑体"/>
          <w:b w:val="0"/>
          <w:bCs w:val="0"/>
        </w:rPr>
      </w:pPr>
      <w:bookmarkStart w:id="50" w:name="OLE_LINK6"/>
      <w:r>
        <w:rPr>
          <w:rFonts w:hint="eastAsia" w:ascii="黑体" w:hAnsi="黑体" w:eastAsia="黑体" w:cs="黑体"/>
          <w:b/>
          <w:bCs/>
          <w:color w:val="000000"/>
          <w:sz w:val="44"/>
          <w:szCs w:val="44"/>
        </w:rPr>
        <w:t>第三部分 名</w:t>
      </w:r>
      <w:r>
        <w:rPr>
          <w:rStyle w:val="22"/>
          <w:rFonts w:hint="eastAsia" w:ascii="黑体" w:hAnsi="黑体" w:eastAsia="黑体" w:cs="黑体"/>
        </w:rPr>
        <w:t>词解释</w:t>
      </w:r>
    </w:p>
    <w:p>
      <w:pPr>
        <w:spacing w:line="600" w:lineRule="exact"/>
        <w:jc w:val="left"/>
        <w:rPr>
          <w:rFonts w:ascii="宋体"/>
          <w:b/>
          <w:bCs/>
          <w:color w:val="000000"/>
          <w:sz w:val="44"/>
          <w:szCs w:val="44"/>
        </w:rPr>
      </w:pPr>
    </w:p>
    <w:p>
      <w:pPr>
        <w:pStyle w:val="30"/>
        <w:spacing w:line="540" w:lineRule="atLeast"/>
        <w:ind w:firstLine="640" w:firstLineChars="200"/>
        <w:rPr>
          <w:rFonts w:ascii="仿宋_GB2312" w:eastAsia="仿宋_GB2312" w:cs="Times New Roman"/>
          <w:sz w:val="32"/>
          <w:szCs w:val="32"/>
        </w:rPr>
      </w:pPr>
      <w:r>
        <w:rPr>
          <w:rFonts w:ascii="仿宋_GB2312" w:eastAsia="仿宋_GB2312" w:cs="仿宋_GB2312"/>
          <w:sz w:val="32"/>
          <w:szCs w:val="32"/>
        </w:rPr>
        <w:t>1.</w:t>
      </w:r>
      <w:r>
        <w:rPr>
          <w:rFonts w:hint="eastAsia" w:ascii="仿宋_GB2312" w:eastAsia="仿宋_GB2312" w:cs="仿宋_GB2312"/>
          <w:sz w:val="32"/>
          <w:szCs w:val="32"/>
        </w:rPr>
        <w:t>财政拨款收入：指单位从同级财政部门取得的财政预算资金。</w:t>
      </w:r>
    </w:p>
    <w:p>
      <w:pPr>
        <w:pStyle w:val="30"/>
        <w:spacing w:line="540" w:lineRule="atLeast"/>
        <w:ind w:firstLine="640" w:firstLineChars="200"/>
        <w:rPr>
          <w:rFonts w:ascii="仿宋_GB2312" w:eastAsia="仿宋_GB2312" w:cs="Times New Roman"/>
          <w:sz w:val="32"/>
          <w:szCs w:val="32"/>
        </w:rPr>
      </w:pPr>
      <w:r>
        <w:rPr>
          <w:rFonts w:ascii="仿宋_GB2312" w:eastAsia="仿宋_GB2312" w:cs="仿宋_GB2312"/>
          <w:sz w:val="32"/>
          <w:szCs w:val="32"/>
        </w:rPr>
        <w:t>2.</w:t>
      </w:r>
      <w:r>
        <w:rPr>
          <w:rFonts w:hint="eastAsia" w:ascii="仿宋_GB2312" w:eastAsia="仿宋_GB2312" w:cs="仿宋_GB2312"/>
          <w:sz w:val="32"/>
          <w:szCs w:val="32"/>
        </w:rPr>
        <w:t>事业收入：指事业单位开展专业业务活动及辅助活动取得的收入。</w:t>
      </w:r>
    </w:p>
    <w:p>
      <w:pPr>
        <w:pStyle w:val="30"/>
        <w:spacing w:line="540" w:lineRule="atLeast"/>
        <w:ind w:firstLine="640" w:firstLineChars="200"/>
        <w:rPr>
          <w:rFonts w:ascii="仿宋_GB2312" w:eastAsia="仿宋_GB2312" w:cs="Times New Roman"/>
          <w:sz w:val="32"/>
          <w:szCs w:val="32"/>
        </w:rPr>
      </w:pPr>
      <w:r>
        <w:rPr>
          <w:rFonts w:ascii="仿宋_GB2312" w:eastAsia="仿宋_GB2312" w:cs="仿宋_GB2312"/>
          <w:sz w:val="32"/>
          <w:szCs w:val="32"/>
        </w:rPr>
        <w:t>3.</w:t>
      </w:r>
      <w:r>
        <w:rPr>
          <w:rFonts w:hint="eastAsia" w:ascii="仿宋_GB2312" w:eastAsia="仿宋_GB2312" w:cs="仿宋_GB2312"/>
          <w:sz w:val="32"/>
          <w:szCs w:val="32"/>
        </w:rPr>
        <w:t>经营收入：指事业单位在专业业务活动及其辅助活动之外开展非独立核算经营活动取得的收入。</w:t>
      </w:r>
    </w:p>
    <w:p>
      <w:pPr>
        <w:pStyle w:val="30"/>
        <w:spacing w:line="540" w:lineRule="atLeast"/>
        <w:ind w:firstLine="640" w:firstLineChars="200"/>
        <w:rPr>
          <w:rFonts w:ascii="仿宋_GB2312" w:eastAsia="仿宋_GB2312" w:cs="Times New Roman"/>
          <w:sz w:val="32"/>
          <w:szCs w:val="32"/>
        </w:rPr>
      </w:pPr>
      <w:r>
        <w:rPr>
          <w:rFonts w:ascii="仿宋_GB2312" w:eastAsia="仿宋_GB2312" w:cs="仿宋_GB2312"/>
          <w:sz w:val="32"/>
          <w:szCs w:val="32"/>
        </w:rPr>
        <w:t>4.</w:t>
      </w:r>
      <w:r>
        <w:rPr>
          <w:rFonts w:hint="eastAsia" w:ascii="仿宋_GB2312" w:eastAsia="仿宋_GB2312" w:cs="仿宋_GB2312"/>
          <w:sz w:val="32"/>
          <w:szCs w:val="32"/>
        </w:rPr>
        <w:t>其他收入：指单位取得的除上述收入以外的各项收入。主要是利息收入等。</w:t>
      </w:r>
    </w:p>
    <w:p>
      <w:pPr>
        <w:pStyle w:val="30"/>
        <w:spacing w:line="540" w:lineRule="atLeast"/>
        <w:ind w:firstLine="640" w:firstLineChars="200"/>
        <w:rPr>
          <w:rFonts w:ascii="仿宋_GB2312" w:eastAsia="仿宋_GB2312" w:cs="Times New Roman"/>
          <w:sz w:val="32"/>
          <w:szCs w:val="32"/>
        </w:rPr>
      </w:pPr>
      <w:r>
        <w:rPr>
          <w:rFonts w:ascii="仿宋_GB2312" w:eastAsia="仿宋_GB2312" w:cs="仿宋_GB2312"/>
          <w:sz w:val="32"/>
          <w:szCs w:val="32"/>
        </w:rPr>
        <w:t>5.</w:t>
      </w:r>
      <w:r>
        <w:rPr>
          <w:rFonts w:hint="eastAsia" w:ascii="仿宋_GB2312" w:eastAsia="仿宋_GB2312" w:cs="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30"/>
        <w:spacing w:line="540" w:lineRule="atLeast"/>
        <w:ind w:firstLine="640" w:firstLineChars="200"/>
        <w:rPr>
          <w:rFonts w:ascii="仿宋_GB2312" w:eastAsia="仿宋_GB2312" w:cs="Times New Roman"/>
          <w:sz w:val="32"/>
          <w:szCs w:val="32"/>
        </w:rPr>
      </w:pPr>
      <w:r>
        <w:rPr>
          <w:rFonts w:ascii="仿宋_GB2312" w:eastAsia="仿宋_GB2312" w:cs="仿宋_GB2312"/>
          <w:sz w:val="32"/>
          <w:szCs w:val="32"/>
        </w:rPr>
        <w:t>6.</w:t>
      </w:r>
      <w:r>
        <w:rPr>
          <w:rFonts w:hint="eastAsia" w:ascii="仿宋_GB2312" w:eastAsia="仿宋_GB2312" w:cs="仿宋_GB2312"/>
          <w:sz w:val="32"/>
          <w:szCs w:val="32"/>
        </w:rPr>
        <w:t>年初结转和结余：指以前年度尚未完成、结转到本年按有关规定继续使用的资金。</w:t>
      </w:r>
    </w:p>
    <w:p>
      <w:pPr>
        <w:pStyle w:val="30"/>
        <w:spacing w:line="540" w:lineRule="atLeast"/>
        <w:ind w:firstLine="640" w:firstLineChars="200"/>
        <w:rPr>
          <w:rFonts w:ascii="仿宋_GB2312" w:eastAsia="仿宋_GB2312" w:cs="Times New Roman"/>
          <w:sz w:val="32"/>
          <w:szCs w:val="32"/>
        </w:rPr>
      </w:pPr>
      <w:r>
        <w:rPr>
          <w:rFonts w:ascii="仿宋_GB2312" w:eastAsia="仿宋_GB2312" w:cs="仿宋_GB2312"/>
          <w:sz w:val="32"/>
          <w:szCs w:val="32"/>
        </w:rPr>
        <w:t>7.</w:t>
      </w:r>
      <w:r>
        <w:rPr>
          <w:rFonts w:hint="eastAsia" w:ascii="仿宋_GB2312" w:eastAsia="仿宋_GB2312" w:cs="仿宋_GB2312"/>
          <w:sz w:val="32"/>
          <w:szCs w:val="32"/>
        </w:rPr>
        <w:t>结余分配：指事业单位按照事业单位会计制度的规定从非财政补助结余中分配的事业基金和职工福利基金等。</w:t>
      </w:r>
    </w:p>
    <w:p>
      <w:pPr>
        <w:pStyle w:val="30"/>
        <w:spacing w:line="540" w:lineRule="atLeast"/>
        <w:ind w:firstLine="640" w:firstLineChars="200"/>
        <w:rPr>
          <w:rFonts w:ascii="仿宋_GB2312" w:eastAsia="仿宋_GB2312" w:cs="Times New Roman"/>
          <w:sz w:val="32"/>
          <w:szCs w:val="32"/>
        </w:rPr>
      </w:pPr>
      <w:r>
        <w:rPr>
          <w:rFonts w:ascii="仿宋_GB2312" w:eastAsia="仿宋_GB2312" w:cs="仿宋_GB2312"/>
          <w:sz w:val="32"/>
          <w:szCs w:val="32"/>
        </w:rPr>
        <w:t>8</w:t>
      </w:r>
      <w:r>
        <w:rPr>
          <w:rFonts w:hint="eastAsia" w:ascii="仿宋_GB2312" w:eastAsia="仿宋_GB2312" w:cs="仿宋_GB2312"/>
          <w:sz w:val="32"/>
          <w:szCs w:val="32"/>
        </w:rPr>
        <w:t>、年末结转和结余：指单位按有关规定结转到下年或以后年度继续使用的资金。</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9.</w:t>
      </w:r>
      <w:r>
        <w:rPr>
          <w:rFonts w:hint="eastAsia" w:ascii="仿宋_GB2312" w:eastAsia="仿宋_GB2312" w:cs="仿宋_GB2312"/>
          <w:color w:val="000000"/>
          <w:sz w:val="32"/>
          <w:szCs w:val="32"/>
        </w:rPr>
        <w:t>一般公共服务类，其他一般公共服务支出指其他的一般公共服务支出。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 xml:space="preserve">10. </w:t>
      </w:r>
      <w:r>
        <w:rPr>
          <w:rFonts w:hint="eastAsia" w:ascii="仿宋_GB2312" w:eastAsia="仿宋_GB2312" w:cs="仿宋_GB2312"/>
          <w:color w:val="000000"/>
          <w:sz w:val="32"/>
          <w:szCs w:val="32"/>
        </w:rPr>
        <w:t>社会保障和就业类，事业单位离退休指实行归口管理的事业单位开支的离退休经费。</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 xml:space="preserve">11. </w:t>
      </w:r>
      <w:r>
        <w:rPr>
          <w:rFonts w:hint="eastAsia" w:ascii="仿宋_GB2312" w:eastAsia="仿宋_GB2312" w:cs="仿宋_GB2312"/>
          <w:color w:val="000000"/>
          <w:sz w:val="32"/>
          <w:szCs w:val="32"/>
        </w:rPr>
        <w:t>社会保障和就业类，未归口管理的行政单位离退休指未实行归口管理的行政单位开支的离退休经费。</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 xml:space="preserve">12. </w:t>
      </w:r>
      <w:r>
        <w:rPr>
          <w:rFonts w:hint="eastAsia" w:ascii="仿宋_GB2312" w:eastAsia="仿宋_GB2312" w:cs="仿宋_GB2312"/>
          <w:color w:val="000000"/>
          <w:sz w:val="32"/>
          <w:szCs w:val="32"/>
        </w:rPr>
        <w:t>社会保障和就业类，机关事业单位基本养老保险缴费支出指机关事业单位实施养老保险制度由单位缴纳的基本养老保险费支出。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 xml:space="preserve">13. </w:t>
      </w:r>
      <w:r>
        <w:rPr>
          <w:rFonts w:hint="eastAsia" w:ascii="仿宋_GB2312" w:eastAsia="仿宋_GB2312" w:cs="仿宋_GB2312"/>
          <w:color w:val="000000"/>
          <w:sz w:val="32"/>
          <w:szCs w:val="32"/>
        </w:rPr>
        <w:t>社会保障和就业类，机关事业单位职业年金缴费支出指机关事业单位实施养老保险制度由单位缴纳的职业年金支出。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 xml:space="preserve">14. </w:t>
      </w:r>
      <w:r>
        <w:rPr>
          <w:rFonts w:hint="eastAsia" w:ascii="仿宋_GB2312" w:eastAsia="仿宋_GB2312" w:cs="仿宋_GB2312"/>
          <w:color w:val="000000"/>
          <w:sz w:val="32"/>
          <w:szCs w:val="32"/>
        </w:rPr>
        <w:t>社会保障和就业类，其他社会保障和就业支出指明确项目以外的其他用于社会保障和就业方面的支出。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 xml:space="preserve">15. </w:t>
      </w:r>
      <w:r>
        <w:rPr>
          <w:rFonts w:hint="eastAsia" w:ascii="仿宋_GB2312" w:eastAsia="仿宋_GB2312" w:cs="仿宋_GB2312"/>
          <w:color w:val="000000"/>
          <w:sz w:val="32"/>
          <w:szCs w:val="32"/>
        </w:rPr>
        <w:t>社会保障和就业类，其他医疗卫生与计划生育支出指明确项目以外的其他用于卫生健康方面的支出。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16.</w:t>
      </w:r>
      <w:r>
        <w:rPr>
          <w:rFonts w:hint="eastAsia" w:ascii="仿宋_GB2312" w:eastAsia="仿宋_GB2312" w:cs="仿宋_GB2312"/>
          <w:color w:val="000000"/>
          <w:sz w:val="32"/>
          <w:szCs w:val="32"/>
        </w:rPr>
        <w:t>节能环保支出类，能源节约利用指能源节约利用方面的支出。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17.</w:t>
      </w:r>
      <w:r>
        <w:rPr>
          <w:rFonts w:hint="eastAsia" w:ascii="仿宋_GB2312" w:eastAsia="仿宋_GB2312" w:cs="仿宋_GB2312"/>
          <w:color w:val="000000"/>
          <w:sz w:val="32"/>
          <w:szCs w:val="32"/>
        </w:rPr>
        <w:t>节能环保支出类，其他节能环保支出指明确项目以外的其他用于节能环保方面的支出。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18.</w:t>
      </w:r>
      <w:r>
        <w:rPr>
          <w:rFonts w:hint="eastAsia" w:ascii="仿宋_GB2312" w:eastAsia="仿宋_GB2312" w:cs="仿宋_GB2312"/>
          <w:color w:val="000000"/>
          <w:sz w:val="32"/>
          <w:szCs w:val="32"/>
        </w:rPr>
        <w:t>城乡社区支出类，行政运行指行政单位（包括实行公务员管理的事业单位）的基本支出。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 xml:space="preserve">19. </w:t>
      </w:r>
      <w:r>
        <w:rPr>
          <w:rFonts w:hint="eastAsia" w:ascii="仿宋_GB2312" w:eastAsia="仿宋_GB2312" w:cs="仿宋_GB2312"/>
          <w:color w:val="000000"/>
          <w:sz w:val="32"/>
          <w:szCs w:val="32"/>
        </w:rPr>
        <w:t>城乡社区支出类，城管执法指城市管理综合行政执法、加强城市市容和环境卫生管理等方面的支出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 xml:space="preserve">20. </w:t>
      </w:r>
      <w:r>
        <w:rPr>
          <w:rFonts w:hint="eastAsia" w:ascii="仿宋_GB2312" w:eastAsia="仿宋_GB2312" w:cs="仿宋_GB2312"/>
          <w:color w:val="000000"/>
          <w:sz w:val="32"/>
          <w:szCs w:val="32"/>
        </w:rPr>
        <w:t>城乡社区支出类，其他城乡社区管理事务支出指明确项目以外的其他用于城乡社区管理事务方面的支出。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 xml:space="preserve">21. </w:t>
      </w:r>
      <w:r>
        <w:rPr>
          <w:rFonts w:hint="eastAsia" w:ascii="仿宋_GB2312" w:eastAsia="仿宋_GB2312" w:cs="仿宋_GB2312"/>
          <w:color w:val="000000"/>
          <w:sz w:val="32"/>
          <w:szCs w:val="32"/>
        </w:rPr>
        <w:t>城乡社区支出类，其他城乡社区公共设施支出指明确项目以外的其他用于城乡社区公共设施方面的支出。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 xml:space="preserve">22. </w:t>
      </w:r>
      <w:r>
        <w:rPr>
          <w:rFonts w:hint="eastAsia" w:ascii="仿宋_GB2312" w:eastAsia="仿宋_GB2312" w:cs="仿宋_GB2312"/>
          <w:color w:val="000000"/>
          <w:sz w:val="32"/>
          <w:szCs w:val="32"/>
        </w:rPr>
        <w:t>城乡社区支出类，城乡社区环境卫生指城乡社区道路清扫、垃圾清运与处理、公厕建设与维护、园林绿化等方面的支出。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 xml:space="preserve">23. </w:t>
      </w:r>
      <w:r>
        <w:rPr>
          <w:rFonts w:hint="eastAsia" w:ascii="仿宋_GB2312" w:eastAsia="仿宋_GB2312" w:cs="仿宋_GB2312"/>
          <w:color w:val="000000"/>
          <w:sz w:val="32"/>
          <w:szCs w:val="32"/>
        </w:rPr>
        <w:t>城乡社区支出类，城市建设支出指土地出让收入用于完善国有土地使用功能的配套设施建设和城市基础设施建设支出。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 xml:space="preserve">24. </w:t>
      </w:r>
      <w:r>
        <w:rPr>
          <w:rFonts w:hint="eastAsia" w:ascii="仿宋_GB2312" w:eastAsia="仿宋_GB2312" w:cs="仿宋_GB2312"/>
          <w:color w:val="000000"/>
          <w:sz w:val="32"/>
          <w:szCs w:val="32"/>
        </w:rPr>
        <w:t>城乡社区支出类，城市环境卫生指城市基础设施配套费安排用于道路清扫、垃圾清运与处理、污水处理、园林绿化等方面的支出。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 xml:space="preserve">25. </w:t>
      </w:r>
      <w:r>
        <w:rPr>
          <w:rFonts w:hint="eastAsia" w:ascii="仿宋_GB2312" w:eastAsia="仿宋_GB2312" w:cs="仿宋_GB2312"/>
          <w:color w:val="000000"/>
          <w:sz w:val="32"/>
          <w:szCs w:val="32"/>
        </w:rPr>
        <w:t>城乡社区支出类，其他城乡社区支出指明确项目以外的其他用于城乡社区方面的支出。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26.</w:t>
      </w:r>
      <w:r>
        <w:rPr>
          <w:rFonts w:hint="eastAsia" w:ascii="仿宋_GB2312" w:eastAsia="仿宋_GB2312" w:cs="仿宋_GB2312"/>
          <w:color w:val="000000"/>
          <w:sz w:val="32"/>
          <w:szCs w:val="32"/>
        </w:rPr>
        <w:t>住房保障支出类，住房公积金指行政事业单位按人力资源和社会保障部、财政部规定的基本工资和津贴补贴以及规定比例为职工缴纳的住房公积金。</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27.</w:t>
      </w:r>
      <w:r>
        <w:rPr>
          <w:rFonts w:hint="eastAsia" w:ascii="仿宋_GB2312" w:eastAsia="仿宋_GB2312" w:cs="仿宋_GB2312"/>
          <w:color w:val="000000"/>
          <w:sz w:val="32"/>
          <w:szCs w:val="32"/>
        </w:rPr>
        <w:t>基本支出：指为保障机构正常运转、完成日常工作任务而发生的人员支出和公用支出。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28.</w:t>
      </w:r>
      <w:r>
        <w:rPr>
          <w:rFonts w:hint="eastAsia" w:ascii="仿宋_GB2312" w:eastAsia="仿宋_GB2312" w:cs="仿宋_GB2312"/>
          <w:color w:val="000000"/>
          <w:sz w:val="32"/>
          <w:szCs w:val="32"/>
        </w:rPr>
        <w:t>项目支出：指在基本支出之外为完成特定行政任务和事业发展目标所发生的支出。</w:t>
      </w:r>
    </w:p>
    <w:p>
      <w:pPr>
        <w:spacing w:line="540" w:lineRule="atLeast"/>
        <w:ind w:firstLine="640" w:firstLineChars="200"/>
        <w:rPr>
          <w:rFonts w:ascii="仿宋_GB2312" w:eastAsia="仿宋_GB2312"/>
          <w:color w:val="000000"/>
          <w:sz w:val="32"/>
          <w:szCs w:val="32"/>
        </w:rPr>
      </w:pPr>
      <w:r>
        <w:rPr>
          <w:rFonts w:ascii="仿宋_GB2312" w:eastAsia="仿宋_GB2312" w:cs="仿宋_GB2312"/>
          <w:color w:val="000000"/>
          <w:sz w:val="32"/>
          <w:szCs w:val="32"/>
        </w:rPr>
        <w:t>29.</w:t>
      </w:r>
      <w:r>
        <w:rPr>
          <w:rFonts w:hint="eastAsia" w:ascii="仿宋_GB2312" w:eastAsia="仿宋_GB2312" w:cs="仿宋_GB2312"/>
          <w:color w:val="000000"/>
          <w:sz w:val="32"/>
          <w:szCs w:val="32"/>
        </w:rPr>
        <w:t>经营支出：指事业单位在专业业务活动及其辅助活动之外开展非独立核算经营活动发生的支出。</w:t>
      </w:r>
    </w:p>
    <w:p>
      <w:pPr>
        <w:pStyle w:val="30"/>
        <w:spacing w:line="540" w:lineRule="atLeast"/>
        <w:ind w:firstLine="640" w:firstLineChars="200"/>
        <w:rPr>
          <w:rFonts w:ascii="仿宋_GB2312" w:eastAsia="仿宋_GB2312" w:cs="Times New Roman"/>
          <w:sz w:val="32"/>
          <w:szCs w:val="32"/>
        </w:rPr>
      </w:pPr>
      <w:r>
        <w:rPr>
          <w:rFonts w:ascii="仿宋_GB2312" w:eastAsia="仿宋_GB2312" w:cs="仿宋_GB2312"/>
          <w:sz w:val="32"/>
          <w:szCs w:val="32"/>
        </w:rPr>
        <w:t>30.</w:t>
      </w:r>
      <w:r>
        <w:rPr>
          <w:rFonts w:hint="eastAsia" w:ascii="仿宋_GB2312" w:eastAsia="仿宋_GB2312" w:cs="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30"/>
        <w:spacing w:line="540" w:lineRule="atLeast"/>
        <w:ind w:firstLine="640" w:firstLineChars="200"/>
        <w:rPr>
          <w:rFonts w:ascii="仿宋_GB2312" w:eastAsia="仿宋_GB2312" w:cs="Times New Roman"/>
          <w:sz w:val="32"/>
          <w:szCs w:val="32"/>
        </w:rPr>
      </w:pPr>
      <w:r>
        <w:rPr>
          <w:rFonts w:ascii="仿宋_GB2312" w:eastAsia="仿宋_GB2312" w:cs="仿宋_GB2312"/>
          <w:sz w:val="32"/>
          <w:szCs w:val="32"/>
        </w:rPr>
        <w:t>31.</w:t>
      </w: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atLeast"/>
        <w:ind w:firstLine="643" w:firstLineChars="200"/>
        <w:rPr>
          <w:rFonts w:ascii="仿宋" w:hAnsi="仿宋" w:eastAsia="仿宋"/>
          <w:b/>
          <w:bCs/>
          <w:color w:val="000000"/>
          <w:sz w:val="32"/>
          <w:szCs w:val="32"/>
        </w:rPr>
      </w:pPr>
    </w:p>
    <w:bookmarkEnd w:id="50"/>
    <w:p>
      <w:pPr>
        <w:pStyle w:val="2"/>
        <w:ind w:leftChars="0" w:firstLine="0"/>
      </w:pPr>
      <w:r>
        <w:rPr>
          <w:rFonts w:ascii="宋体"/>
          <w:b/>
          <w:bCs/>
          <w:color w:val="000000"/>
          <w:sz w:val="44"/>
          <w:szCs w:val="44"/>
        </w:rPr>
        <w:br w:type="page"/>
      </w:r>
    </w:p>
    <w:p>
      <w:pPr>
        <w:spacing w:line="600" w:lineRule="exact"/>
        <w:jc w:val="center"/>
        <w:rPr>
          <w:rStyle w:val="22"/>
          <w:rFonts w:ascii="黑体" w:hAnsi="黑体" w:eastAsia="黑体"/>
          <w:b w:val="0"/>
        </w:rPr>
      </w:pPr>
      <w:bookmarkStart w:id="51" w:name="_Toc15396614"/>
      <w:r>
        <w:rPr>
          <w:rFonts w:hint="eastAsia" w:ascii="黑体" w:hAnsi="黑体" w:eastAsia="黑体"/>
          <w:color w:val="000000"/>
          <w:sz w:val="44"/>
          <w:szCs w:val="44"/>
        </w:rPr>
        <w:t>第</w:t>
      </w:r>
      <w:r>
        <w:rPr>
          <w:rStyle w:val="22"/>
          <w:rFonts w:hint="eastAsia" w:ascii="黑体" w:hAnsi="黑体" w:eastAsia="黑体"/>
          <w:b w:val="0"/>
        </w:rPr>
        <w:t>四部分 附件</w:t>
      </w:r>
      <w:bookmarkEnd w:id="51"/>
    </w:p>
    <w:p>
      <w:pPr>
        <w:rPr>
          <w:rFonts w:ascii="黑体" w:hAnsi="黑体" w:eastAsia="黑体"/>
          <w:sz w:val="32"/>
          <w:szCs w:val="32"/>
        </w:rPr>
      </w:pPr>
      <w:r>
        <w:rPr>
          <w:rFonts w:hint="eastAsia" w:ascii="黑体" w:hAnsi="黑体" w:eastAsia="黑体"/>
          <w:sz w:val="32"/>
          <w:szCs w:val="32"/>
        </w:rPr>
        <w:t>附件</w:t>
      </w:r>
    </w:p>
    <w:p>
      <w:r>
        <w:rPr>
          <w:rFonts w:hint="eastAsia"/>
        </w:rPr>
        <w:t xml:space="preserve">   </w:t>
      </w:r>
    </w:p>
    <w:p>
      <w:pPr>
        <w:jc w:val="center"/>
        <w:rPr>
          <w:rFonts w:ascii="方正小标宋简体" w:eastAsia="方正小标宋简体"/>
          <w:sz w:val="44"/>
          <w:szCs w:val="44"/>
        </w:rPr>
      </w:pPr>
      <w:r>
        <w:rPr>
          <w:rFonts w:hint="eastAsia" w:ascii="方正小标宋简体" w:eastAsia="方正小标宋简体"/>
          <w:sz w:val="44"/>
          <w:szCs w:val="44"/>
        </w:rPr>
        <w:t>德阳市城市管理行政执法局</w:t>
      </w:r>
    </w:p>
    <w:p>
      <w:pPr>
        <w:jc w:val="center"/>
        <w:rPr>
          <w:rFonts w:ascii="方正小标宋简体" w:eastAsia="方正小标宋简体"/>
          <w:sz w:val="44"/>
          <w:szCs w:val="44"/>
        </w:rPr>
      </w:pPr>
      <w:r>
        <w:rPr>
          <w:rFonts w:hint="eastAsia" w:ascii="方正小标宋简体" w:eastAsia="方正小标宋简体"/>
          <w:sz w:val="44"/>
          <w:szCs w:val="44"/>
        </w:rPr>
        <w:t>2020年部门整体支出绩效自评报告</w:t>
      </w:r>
    </w:p>
    <w:p/>
    <w:p>
      <w:pPr>
        <w:adjustRightInd w:val="0"/>
        <w:snapToGrid w:val="0"/>
        <w:spacing w:line="600" w:lineRule="exact"/>
        <w:ind w:firstLine="720"/>
        <w:rPr>
          <w:rFonts w:ascii="黑体" w:hAnsi="黑体" w:eastAsia="黑体"/>
          <w:sz w:val="32"/>
          <w:szCs w:val="32"/>
          <w:lang w:val="zh-CN"/>
        </w:rPr>
      </w:pPr>
      <w:r>
        <w:rPr>
          <w:rFonts w:hint="eastAsia" w:ascii="黑体" w:hAnsi="黑体" w:eastAsia="黑体"/>
          <w:sz w:val="32"/>
          <w:szCs w:val="32"/>
          <w:lang w:val="zh-CN"/>
        </w:rPr>
        <w:t>一、部门概况</w:t>
      </w:r>
    </w:p>
    <w:p>
      <w:pPr>
        <w:spacing w:line="600" w:lineRule="exact"/>
        <w:ind w:firstLine="700" w:firstLineChars="200"/>
        <w:rPr>
          <w:rFonts w:ascii="仿宋" w:hAnsi="仿宋" w:eastAsia="仿宋"/>
          <w:sz w:val="32"/>
          <w:szCs w:val="32"/>
        </w:rPr>
      </w:pPr>
      <w:r>
        <w:rPr>
          <w:rFonts w:hint="eastAsia" w:ascii="仿宋" w:hAnsi="仿宋" w:eastAsia="仿宋"/>
          <w:spacing w:val="15"/>
          <w:sz w:val="32"/>
          <w:szCs w:val="32"/>
          <w:shd w:val="clear" w:color="auto" w:fill="FFFFFF"/>
        </w:rPr>
        <w:t>德阳市城市管理行政执法局成立于</w:t>
      </w:r>
      <w:r>
        <w:rPr>
          <w:rFonts w:ascii="仿宋" w:hAnsi="仿宋" w:eastAsia="仿宋"/>
          <w:spacing w:val="15"/>
          <w:sz w:val="32"/>
          <w:szCs w:val="32"/>
          <w:shd w:val="clear" w:color="auto" w:fill="FFFFFF"/>
        </w:rPr>
        <w:t>2010</w:t>
      </w:r>
      <w:r>
        <w:rPr>
          <w:rFonts w:hint="eastAsia" w:ascii="仿宋" w:hAnsi="仿宋" w:eastAsia="仿宋"/>
          <w:spacing w:val="15"/>
          <w:sz w:val="32"/>
          <w:szCs w:val="32"/>
          <w:shd w:val="clear" w:color="auto" w:fill="FFFFFF"/>
        </w:rPr>
        <w:t>年</w:t>
      </w:r>
      <w:r>
        <w:rPr>
          <w:rFonts w:ascii="仿宋" w:hAnsi="仿宋" w:eastAsia="仿宋"/>
          <w:spacing w:val="15"/>
          <w:sz w:val="32"/>
          <w:szCs w:val="32"/>
          <w:shd w:val="clear" w:color="auto" w:fill="FFFFFF"/>
        </w:rPr>
        <w:t>9</w:t>
      </w:r>
      <w:r>
        <w:rPr>
          <w:rFonts w:hint="eastAsia" w:ascii="仿宋" w:hAnsi="仿宋" w:eastAsia="仿宋"/>
          <w:spacing w:val="15"/>
          <w:sz w:val="32"/>
          <w:szCs w:val="32"/>
          <w:shd w:val="clear" w:color="auto" w:fill="FFFFFF"/>
        </w:rPr>
        <w:t>月，</w:t>
      </w:r>
      <w:r>
        <w:rPr>
          <w:rFonts w:hint="eastAsia" w:ascii="仿宋" w:hAnsi="仿宋" w:eastAsia="仿宋"/>
          <w:sz w:val="32"/>
          <w:szCs w:val="32"/>
        </w:rPr>
        <w:t>为市政府工作部门。</w:t>
      </w:r>
    </w:p>
    <w:p>
      <w:pPr>
        <w:adjustRightInd w:val="0"/>
        <w:snapToGrid w:val="0"/>
        <w:spacing w:line="48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（一）机构组成。</w:t>
      </w:r>
      <w:r>
        <w:rPr>
          <w:rFonts w:hint="eastAsia" w:ascii="仿宋" w:hAnsi="仿宋" w:eastAsia="仿宋"/>
          <w:spacing w:val="15"/>
          <w:sz w:val="32"/>
          <w:szCs w:val="32"/>
          <w:shd w:val="clear" w:color="auto" w:fill="FFFFFF"/>
        </w:rPr>
        <w:t>局下属事业单位有：城市综合管理指挥中心、市容环境卫生管理处、市政工程维护管理处、园林管理局、城市照明设施管理处、公园管理处、市城市管理行政执法支队、市建设监察支队。</w:t>
      </w:r>
    </w:p>
    <w:p>
      <w:pPr>
        <w:adjustRightInd w:val="0"/>
        <w:snapToGrid w:val="0"/>
        <w:spacing w:line="48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w:t>
      </w:r>
      <w:r>
        <w:rPr>
          <w:rFonts w:hint="eastAsia" w:ascii="宋体" w:hAnsi="宋体" w:cs="宋体"/>
          <w:b/>
          <w:sz w:val="32"/>
          <w:szCs w:val="32"/>
          <w:lang w:val="zh-CN"/>
        </w:rPr>
        <w:t>二</w:t>
      </w:r>
      <w:r>
        <w:rPr>
          <w:rFonts w:hint="eastAsia" w:ascii="楷体_GB2312" w:hAnsi="宋体" w:eastAsia="楷体_GB2312"/>
          <w:b/>
          <w:sz w:val="32"/>
          <w:szCs w:val="32"/>
          <w:lang w:val="zh-CN"/>
        </w:rPr>
        <w:t>）人员概况。</w:t>
      </w:r>
    </w:p>
    <w:p>
      <w:pPr>
        <w:snapToGrid w:val="0"/>
        <w:spacing w:line="600" w:lineRule="exact"/>
        <w:ind w:firstLine="640" w:firstLineChars="200"/>
        <w:rPr>
          <w:rFonts w:ascii="仿宋" w:hAnsi="仿宋" w:eastAsia="仿宋"/>
          <w:sz w:val="32"/>
          <w:szCs w:val="32"/>
        </w:rPr>
      </w:pPr>
      <w:r>
        <w:rPr>
          <w:rFonts w:hint="eastAsia" w:ascii="仿宋" w:hAnsi="仿宋" w:eastAsia="仿宋"/>
          <w:sz w:val="32"/>
          <w:szCs w:val="32"/>
        </w:rPr>
        <w:t>我局</w:t>
      </w:r>
      <w:r>
        <w:rPr>
          <w:rFonts w:ascii="仿宋" w:hAnsi="仿宋" w:eastAsia="仿宋"/>
          <w:sz w:val="32"/>
          <w:szCs w:val="32"/>
        </w:rPr>
        <w:t>2020</w:t>
      </w:r>
      <w:r>
        <w:rPr>
          <w:rFonts w:hint="eastAsia" w:ascii="仿宋" w:hAnsi="仿宋" w:eastAsia="仿宋"/>
          <w:sz w:val="32"/>
          <w:szCs w:val="32"/>
        </w:rPr>
        <w:t>年末在职职工实有人数</w:t>
      </w:r>
      <w:r>
        <w:rPr>
          <w:rFonts w:ascii="仿宋" w:hAnsi="仿宋" w:eastAsia="仿宋"/>
          <w:sz w:val="32"/>
          <w:szCs w:val="32"/>
        </w:rPr>
        <w:t>771</w:t>
      </w:r>
      <w:r>
        <w:rPr>
          <w:rFonts w:hint="eastAsia" w:ascii="仿宋" w:hAnsi="仿宋" w:eastAsia="仿宋"/>
          <w:sz w:val="32"/>
          <w:szCs w:val="32"/>
        </w:rPr>
        <w:t>人，其中行政人员</w:t>
      </w:r>
      <w:r>
        <w:rPr>
          <w:rFonts w:ascii="仿宋" w:hAnsi="仿宋" w:eastAsia="仿宋"/>
          <w:sz w:val="32"/>
          <w:szCs w:val="32"/>
        </w:rPr>
        <w:t>32</w:t>
      </w:r>
      <w:r>
        <w:rPr>
          <w:rFonts w:hint="eastAsia" w:ascii="仿宋" w:hAnsi="仿宋" w:eastAsia="仿宋"/>
          <w:sz w:val="32"/>
          <w:szCs w:val="32"/>
        </w:rPr>
        <w:t>人，参照公务员法管理事业人员</w:t>
      </w:r>
      <w:r>
        <w:rPr>
          <w:rFonts w:ascii="仿宋" w:hAnsi="仿宋" w:eastAsia="仿宋"/>
          <w:sz w:val="32"/>
          <w:szCs w:val="32"/>
        </w:rPr>
        <w:t>25</w:t>
      </w:r>
      <w:r>
        <w:rPr>
          <w:rFonts w:hint="eastAsia" w:ascii="仿宋" w:hAnsi="仿宋" w:eastAsia="仿宋"/>
          <w:sz w:val="32"/>
          <w:szCs w:val="32"/>
        </w:rPr>
        <w:t>人，非参公事业人员</w:t>
      </w:r>
      <w:r>
        <w:rPr>
          <w:rFonts w:ascii="仿宋" w:hAnsi="仿宋" w:eastAsia="仿宋"/>
          <w:sz w:val="32"/>
          <w:szCs w:val="32"/>
        </w:rPr>
        <w:t>714</w:t>
      </w:r>
      <w:r>
        <w:rPr>
          <w:rFonts w:hint="eastAsia" w:ascii="仿宋" w:hAnsi="仿宋" w:eastAsia="仿宋"/>
          <w:sz w:val="32"/>
          <w:szCs w:val="32"/>
        </w:rPr>
        <w:t>人。</w:t>
      </w:r>
    </w:p>
    <w:p>
      <w:pPr>
        <w:adjustRightInd w:val="0"/>
        <w:snapToGrid w:val="0"/>
        <w:spacing w:line="600" w:lineRule="exact"/>
        <w:ind w:firstLine="720"/>
        <w:rPr>
          <w:rFonts w:ascii="黑体" w:hAnsi="黑体" w:eastAsia="黑体"/>
          <w:sz w:val="32"/>
          <w:szCs w:val="32"/>
          <w:lang w:val="zh-CN"/>
        </w:rPr>
      </w:pPr>
      <w:r>
        <w:rPr>
          <w:rFonts w:hint="eastAsia" w:ascii="黑体" w:hAnsi="黑体" w:eastAsia="黑体"/>
          <w:sz w:val="32"/>
          <w:szCs w:val="32"/>
          <w:lang w:val="zh-CN"/>
        </w:rPr>
        <w:t>二、本部门财政资金收支情况</w:t>
      </w:r>
    </w:p>
    <w:p>
      <w:pPr>
        <w:adjustRightInd w:val="0"/>
        <w:snapToGrid w:val="0"/>
        <w:spacing w:line="48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（一）部门财政资金收入情况。</w:t>
      </w:r>
      <w:r>
        <w:rPr>
          <w:rFonts w:ascii="仿宋" w:hAnsi="仿宋" w:eastAsia="仿宋"/>
          <w:sz w:val="32"/>
          <w:szCs w:val="32"/>
        </w:rPr>
        <w:t>2020</w:t>
      </w:r>
      <w:r>
        <w:rPr>
          <w:rFonts w:hint="eastAsia" w:ascii="仿宋" w:hAnsi="仿宋" w:eastAsia="仿宋"/>
          <w:sz w:val="32"/>
          <w:szCs w:val="32"/>
        </w:rPr>
        <w:t>年，我局财政资金收入</w:t>
      </w:r>
      <w:r>
        <w:rPr>
          <w:rFonts w:ascii="仿宋" w:hAnsi="仿宋" w:eastAsia="仿宋"/>
          <w:sz w:val="32"/>
          <w:szCs w:val="32"/>
        </w:rPr>
        <w:t>33,118.18</w:t>
      </w:r>
      <w:r>
        <w:rPr>
          <w:rFonts w:hint="eastAsia" w:ascii="仿宋" w:hAnsi="仿宋" w:eastAsia="仿宋"/>
          <w:sz w:val="32"/>
          <w:szCs w:val="32"/>
        </w:rPr>
        <w:t>万元，全部为一般公共预算财政拨款。</w:t>
      </w:r>
    </w:p>
    <w:p>
      <w:pPr>
        <w:spacing w:line="600" w:lineRule="exact"/>
        <w:ind w:firstLine="643" w:firstLineChars="200"/>
        <w:rPr>
          <w:rFonts w:ascii="仿宋" w:hAnsi="仿宋" w:eastAsia="仿宋"/>
          <w:sz w:val="32"/>
          <w:szCs w:val="32"/>
        </w:rPr>
      </w:pPr>
      <w:r>
        <w:rPr>
          <w:rFonts w:hint="eastAsia" w:ascii="楷体_GB2312" w:hAnsi="宋体" w:eastAsia="楷体_GB2312"/>
          <w:b/>
          <w:sz w:val="32"/>
          <w:szCs w:val="32"/>
          <w:lang w:val="zh-CN"/>
        </w:rPr>
        <w:t>（二）部门财政资金支出情况。</w:t>
      </w:r>
      <w:r>
        <w:rPr>
          <w:rFonts w:ascii="仿宋" w:hAnsi="仿宋" w:eastAsia="仿宋"/>
          <w:sz w:val="32"/>
          <w:szCs w:val="32"/>
        </w:rPr>
        <w:t>2020</w:t>
      </w:r>
      <w:r>
        <w:rPr>
          <w:rFonts w:hint="eastAsia" w:ascii="仿宋" w:hAnsi="仿宋" w:eastAsia="仿宋"/>
          <w:sz w:val="32"/>
          <w:szCs w:val="32"/>
        </w:rPr>
        <w:t>年，我局财政资金支出</w:t>
      </w:r>
      <w:r>
        <w:rPr>
          <w:rFonts w:ascii="仿宋" w:hAnsi="仿宋" w:eastAsia="仿宋"/>
          <w:sz w:val="32"/>
          <w:szCs w:val="32"/>
        </w:rPr>
        <w:t>32,291.49</w:t>
      </w:r>
      <w:r>
        <w:rPr>
          <w:rFonts w:hint="eastAsia" w:ascii="仿宋" w:hAnsi="仿宋" w:eastAsia="仿宋"/>
          <w:sz w:val="32"/>
          <w:szCs w:val="32"/>
        </w:rPr>
        <w:t>万元，其中基本支出</w:t>
      </w:r>
      <w:r>
        <w:rPr>
          <w:rFonts w:ascii="仿宋" w:hAnsi="仿宋" w:eastAsia="仿宋"/>
          <w:sz w:val="32"/>
          <w:szCs w:val="32"/>
        </w:rPr>
        <w:t>10,305.77</w:t>
      </w:r>
      <w:r>
        <w:rPr>
          <w:rFonts w:hint="eastAsia" w:ascii="仿宋" w:hAnsi="仿宋" w:eastAsia="仿宋"/>
          <w:sz w:val="32"/>
          <w:szCs w:val="32"/>
        </w:rPr>
        <w:t>万元，占总支出的</w:t>
      </w:r>
      <w:r>
        <w:rPr>
          <w:rFonts w:ascii="仿宋" w:hAnsi="仿宋" w:eastAsia="仿宋"/>
          <w:sz w:val="32"/>
          <w:szCs w:val="32"/>
        </w:rPr>
        <w:t>31.91%</w:t>
      </w:r>
      <w:r>
        <w:rPr>
          <w:rFonts w:hint="eastAsia" w:ascii="仿宋" w:hAnsi="仿宋" w:eastAsia="仿宋"/>
          <w:sz w:val="32"/>
          <w:szCs w:val="32"/>
        </w:rPr>
        <w:t>；项目支出</w:t>
      </w:r>
      <w:r>
        <w:rPr>
          <w:rFonts w:ascii="仿宋" w:hAnsi="仿宋" w:eastAsia="仿宋"/>
          <w:sz w:val="32"/>
          <w:szCs w:val="32"/>
        </w:rPr>
        <w:t>21,985.72</w:t>
      </w:r>
      <w:r>
        <w:rPr>
          <w:rFonts w:hint="eastAsia" w:ascii="仿宋" w:hAnsi="仿宋" w:eastAsia="仿宋"/>
          <w:sz w:val="32"/>
          <w:szCs w:val="32"/>
        </w:rPr>
        <w:t>万元，占总支出的</w:t>
      </w:r>
      <w:r>
        <w:rPr>
          <w:rFonts w:ascii="仿宋" w:hAnsi="仿宋" w:eastAsia="仿宋"/>
          <w:sz w:val="32"/>
          <w:szCs w:val="32"/>
        </w:rPr>
        <w:t>68.09%</w:t>
      </w:r>
      <w:r>
        <w:rPr>
          <w:rFonts w:hint="eastAsia" w:ascii="仿宋" w:hAnsi="仿宋" w:eastAsia="仿宋"/>
          <w:sz w:val="32"/>
          <w:szCs w:val="32"/>
        </w:rPr>
        <w:t>。基本支出中人员经费</w:t>
      </w:r>
      <w:r>
        <w:rPr>
          <w:rFonts w:ascii="仿宋" w:hAnsi="仿宋" w:eastAsia="仿宋"/>
          <w:sz w:val="32"/>
          <w:szCs w:val="32"/>
        </w:rPr>
        <w:t>9,247.13</w:t>
      </w:r>
      <w:r>
        <w:rPr>
          <w:rFonts w:hint="eastAsia" w:ascii="仿宋" w:hAnsi="仿宋" w:eastAsia="仿宋"/>
          <w:sz w:val="32"/>
          <w:szCs w:val="32"/>
        </w:rPr>
        <w:t>万元，占基本支出的</w:t>
      </w:r>
      <w:r>
        <w:rPr>
          <w:rFonts w:ascii="仿宋" w:hAnsi="仿宋" w:eastAsia="仿宋"/>
          <w:sz w:val="32"/>
          <w:szCs w:val="32"/>
        </w:rPr>
        <w:t>89.73%;</w:t>
      </w:r>
      <w:r>
        <w:rPr>
          <w:rFonts w:hint="eastAsia" w:ascii="仿宋" w:hAnsi="仿宋" w:eastAsia="仿宋"/>
          <w:sz w:val="32"/>
          <w:szCs w:val="32"/>
        </w:rPr>
        <w:t>日常公用经费</w:t>
      </w:r>
      <w:r>
        <w:rPr>
          <w:rFonts w:ascii="仿宋" w:hAnsi="仿宋" w:eastAsia="仿宋"/>
          <w:sz w:val="32"/>
          <w:szCs w:val="32"/>
        </w:rPr>
        <w:t>1,058.64</w:t>
      </w:r>
      <w:r>
        <w:rPr>
          <w:rFonts w:hint="eastAsia" w:ascii="仿宋" w:hAnsi="仿宋" w:eastAsia="仿宋"/>
          <w:sz w:val="32"/>
          <w:szCs w:val="32"/>
        </w:rPr>
        <w:t>万元，占基本支出的</w:t>
      </w:r>
      <w:r>
        <w:rPr>
          <w:rFonts w:ascii="仿宋" w:hAnsi="仿宋" w:eastAsia="仿宋"/>
          <w:sz w:val="32"/>
          <w:szCs w:val="32"/>
        </w:rPr>
        <w:t>10.27%</w:t>
      </w:r>
      <w:r>
        <w:rPr>
          <w:rFonts w:hint="eastAsia" w:ascii="仿宋" w:hAnsi="仿宋" w:eastAsia="仿宋"/>
          <w:sz w:val="32"/>
          <w:szCs w:val="32"/>
        </w:rPr>
        <w:t>。</w:t>
      </w:r>
    </w:p>
    <w:p>
      <w:pPr>
        <w:adjustRightInd w:val="0"/>
        <w:snapToGrid w:val="0"/>
        <w:spacing w:line="600" w:lineRule="exact"/>
        <w:ind w:firstLine="720"/>
        <w:rPr>
          <w:rFonts w:ascii="黑体" w:hAnsi="黑体" w:eastAsia="黑体"/>
          <w:sz w:val="32"/>
          <w:szCs w:val="32"/>
          <w:lang w:val="zh-CN"/>
        </w:rPr>
      </w:pPr>
      <w:r>
        <w:rPr>
          <w:rFonts w:hint="eastAsia" w:ascii="黑体" w:hAnsi="黑体" w:eastAsia="黑体"/>
          <w:sz w:val="32"/>
          <w:szCs w:val="32"/>
          <w:lang w:val="zh-CN"/>
        </w:rPr>
        <w:t>三、部门整体预算绩效管理情况</w:t>
      </w:r>
    </w:p>
    <w:p>
      <w:pPr>
        <w:widowControl/>
        <w:adjustRightInd w:val="0"/>
        <w:snapToGrid w:val="0"/>
        <w:spacing w:line="580" w:lineRule="exact"/>
        <w:ind w:firstLine="643" w:firstLineChars="200"/>
        <w:jc w:val="left"/>
        <w:rPr>
          <w:rFonts w:ascii="楷体_GB2312" w:hAnsi="宋体" w:eastAsia="楷体_GB2312"/>
          <w:b/>
          <w:sz w:val="32"/>
          <w:szCs w:val="32"/>
          <w:lang w:val="zh-CN"/>
        </w:rPr>
      </w:pPr>
      <w:r>
        <w:rPr>
          <w:rFonts w:hint="eastAsia" w:ascii="楷体_GB2312" w:hAnsi="宋体" w:eastAsia="楷体_GB2312"/>
          <w:b/>
          <w:sz w:val="32"/>
          <w:szCs w:val="32"/>
          <w:lang w:val="zh-CN"/>
        </w:rPr>
        <w:t>（一）部门预算管理。</w:t>
      </w:r>
    </w:p>
    <w:p>
      <w:pPr>
        <w:spacing w:line="600" w:lineRule="exact"/>
        <w:ind w:firstLine="645"/>
        <w:rPr>
          <w:rFonts w:ascii="仿宋" w:hAnsi="仿宋" w:eastAsia="仿宋"/>
          <w:sz w:val="32"/>
          <w:szCs w:val="32"/>
        </w:rPr>
      </w:pPr>
      <w:r>
        <w:rPr>
          <w:rFonts w:hint="eastAsia" w:ascii="仿宋" w:hAnsi="仿宋" w:eastAsia="仿宋"/>
          <w:sz w:val="32"/>
          <w:szCs w:val="32"/>
        </w:rPr>
        <w:t>局党委高度重视预算编制工作，坚持总量控制、统筹平衡的原则，严格落实预算编制有关规定，及时研究部署预算编制工作，要求各部门准确把握政策、合理编制收入预算、区分任务轻重缓急，优先编制保障基本运转和民生、维护类项目，切实将项目预算规模控制在市财政局核定的范围内，大力提升财政资金使用绩效。人员经费按标准、日常公用经费按定额、专项经费按项目分别编制。项目预算按照“谁申请资金，谁设定目标”的原则，各部门先填报绩效目标，未按要求设定绩效目标的项目支出一律不得编入部门预算。</w:t>
      </w:r>
    </w:p>
    <w:p>
      <w:pPr>
        <w:spacing w:line="600" w:lineRule="exact"/>
        <w:ind w:firstLine="645"/>
        <w:rPr>
          <w:rFonts w:ascii="仿宋" w:hAnsi="仿宋" w:eastAsia="仿宋"/>
          <w:sz w:val="32"/>
          <w:szCs w:val="32"/>
        </w:rPr>
      </w:pPr>
      <w:r>
        <w:rPr>
          <w:rFonts w:hint="eastAsia" w:ascii="仿宋" w:hAnsi="仿宋" w:eastAsia="仿宋"/>
          <w:sz w:val="32"/>
          <w:szCs w:val="32"/>
        </w:rPr>
        <w:t>按照财经管理有关规定和要求，加强对预算执行管理，及时跟进各项目资金使用情况。对于执行进度缓慢或无法执行的项目预算按规定程序及时进行调整。完善项目资金使用审批手续，坚持先审批，后使用，确保专项专用。坚持按月、季度向市财政局报送相应用款计划，经审核通过后严格执行，每季度预算执行进度达到量化指标。对年度绩效目标进行季度梳理和年度分析，及时上报相关报表；对专项预算提前细化，分科目上报，做到收支平衡。</w:t>
      </w:r>
    </w:p>
    <w:p>
      <w:pPr>
        <w:spacing w:line="600" w:lineRule="exact"/>
        <w:ind w:firstLine="645"/>
        <w:rPr>
          <w:rFonts w:ascii="仿宋" w:hAnsi="仿宋" w:eastAsia="仿宋"/>
          <w:sz w:val="32"/>
          <w:szCs w:val="32"/>
        </w:rPr>
      </w:pPr>
      <w:r>
        <w:rPr>
          <w:rFonts w:hint="eastAsia" w:ascii="仿宋" w:hAnsi="仿宋" w:eastAsia="仿宋"/>
          <w:sz w:val="32"/>
          <w:szCs w:val="32"/>
        </w:rPr>
        <w:t>按照机关事务管理局节能减排要求，继续深入推进节水、节电、节油、节约办公耗材工作，采购符合节能标准的办公设备、办公用品，按时报送各类节能统计报表。</w:t>
      </w:r>
    </w:p>
    <w:p>
      <w:pPr>
        <w:widowControl/>
        <w:adjustRightInd w:val="0"/>
        <w:snapToGrid w:val="0"/>
        <w:spacing w:line="580" w:lineRule="exact"/>
        <w:ind w:firstLine="643" w:firstLineChars="200"/>
        <w:jc w:val="left"/>
        <w:rPr>
          <w:rFonts w:ascii="宋体" w:hAnsi="宋体"/>
          <w:sz w:val="32"/>
          <w:szCs w:val="32"/>
          <w:lang w:val="zh-CN"/>
        </w:rPr>
      </w:pPr>
      <w:r>
        <w:rPr>
          <w:rFonts w:hint="eastAsia" w:ascii="楷体_GB2312" w:hAnsi="宋体" w:eastAsia="楷体_GB2312"/>
          <w:b/>
          <w:sz w:val="32"/>
          <w:szCs w:val="32"/>
          <w:lang w:val="zh-CN"/>
        </w:rPr>
        <w:t>（二）结果应用情况。</w:t>
      </w:r>
    </w:p>
    <w:p>
      <w:pPr>
        <w:widowControl/>
        <w:adjustRightInd w:val="0"/>
        <w:snapToGrid w:val="0"/>
        <w:spacing w:line="580" w:lineRule="exact"/>
        <w:ind w:firstLine="640" w:firstLineChars="200"/>
        <w:jc w:val="left"/>
        <w:rPr>
          <w:rFonts w:ascii="仿宋" w:hAnsi="仿宋" w:eastAsia="仿宋"/>
          <w:sz w:val="32"/>
          <w:szCs w:val="32"/>
        </w:rPr>
      </w:pPr>
      <w:r>
        <w:rPr>
          <w:rFonts w:hint="eastAsia" w:ascii="仿宋" w:hAnsi="仿宋" w:eastAsia="仿宋"/>
          <w:sz w:val="32"/>
          <w:szCs w:val="32"/>
        </w:rPr>
        <w:t>我局及时公开部门整体绩效自评报告，通过开展绩效评价工作，促进了我们从整体上提升预算绩效管理工作水平，强化了部门支出责任，规范了资金管理行为，提高财政资金使用效益，保障部门更好地履行职责，使财政资金通过部门行使其职能，服务社会、群众变得更有效益和效率。</w:t>
      </w:r>
    </w:p>
    <w:p>
      <w:pPr>
        <w:adjustRightInd w:val="0"/>
        <w:snapToGrid w:val="0"/>
        <w:spacing w:line="600" w:lineRule="exact"/>
        <w:ind w:firstLine="720"/>
        <w:rPr>
          <w:rFonts w:ascii="黑体" w:hAnsi="黑体" w:eastAsia="黑体"/>
          <w:sz w:val="32"/>
          <w:szCs w:val="32"/>
          <w:lang w:val="zh-CN"/>
        </w:rPr>
      </w:pPr>
      <w:r>
        <w:rPr>
          <w:rFonts w:hint="eastAsia" w:ascii="黑体" w:hAnsi="黑体" w:eastAsia="黑体"/>
          <w:sz w:val="32"/>
          <w:szCs w:val="32"/>
          <w:lang w:val="zh-CN"/>
        </w:rPr>
        <w:t>四、评价结论</w:t>
      </w:r>
    </w:p>
    <w:p>
      <w:pPr>
        <w:spacing w:line="6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根据相关台账资料，结合《德阳市市级部门2021年部门整体支出绩效评价指标体系》，对2020年度主要工作效益进行量化评分，自评得分为92分，自评等级为“优”。具体如下：预算编制34分，预算执行18分，完成结果20分，信息公开2分，整体反馈18分。</w:t>
      </w:r>
    </w:p>
    <w:p>
      <w:pPr>
        <w:adjustRightInd w:val="0"/>
        <w:snapToGrid w:val="0"/>
        <w:spacing w:line="600" w:lineRule="exact"/>
        <w:ind w:firstLine="720"/>
        <w:rPr>
          <w:rFonts w:ascii="黑体" w:hAnsi="黑体" w:eastAsia="黑体"/>
          <w:sz w:val="32"/>
          <w:szCs w:val="32"/>
          <w:lang w:val="zh-CN"/>
        </w:rPr>
      </w:pPr>
      <w:r>
        <w:rPr>
          <w:rFonts w:hint="eastAsia" w:ascii="黑体" w:hAnsi="黑体" w:eastAsia="黑体"/>
          <w:sz w:val="32"/>
          <w:szCs w:val="32"/>
          <w:lang w:val="zh-CN"/>
        </w:rPr>
        <w:t>五、存在问题及改进措施</w:t>
      </w:r>
    </w:p>
    <w:p>
      <w:pPr>
        <w:widowControl/>
        <w:adjustRightInd w:val="0"/>
        <w:snapToGrid w:val="0"/>
        <w:spacing w:line="580" w:lineRule="exact"/>
        <w:ind w:firstLine="643" w:firstLineChars="200"/>
        <w:jc w:val="left"/>
        <w:rPr>
          <w:rFonts w:ascii="宋体" w:hAnsi="宋体"/>
          <w:sz w:val="32"/>
          <w:szCs w:val="32"/>
          <w:lang w:val="zh-CN"/>
        </w:rPr>
      </w:pPr>
      <w:r>
        <w:rPr>
          <w:rFonts w:hint="eastAsia" w:ascii="楷体_GB2312" w:hAnsi="宋体" w:eastAsia="楷体_GB2312"/>
          <w:b/>
          <w:sz w:val="32"/>
          <w:szCs w:val="32"/>
          <w:lang w:val="zh-CN"/>
        </w:rPr>
        <w:t>（一）存在的问题。</w:t>
      </w:r>
    </w:p>
    <w:p>
      <w:pPr>
        <w:spacing w:line="6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一是预算绩效目标编制、预算执行过程中的绩效监控、绩效评价结果的应用等都处于探索起步阶段，工作流程需不断优化。二是部分职能部门对预算绩效管理工作重视程度还不足，缺乏主动性；对预算绩效管理工作的意义、框架、思路、操作规程认识不够深入，申报绩效目标不够明确，设计的评价指标体系不科学、不严谨。</w:t>
      </w:r>
    </w:p>
    <w:p>
      <w:pPr>
        <w:widowControl/>
        <w:adjustRightInd w:val="0"/>
        <w:snapToGrid w:val="0"/>
        <w:spacing w:line="580" w:lineRule="exact"/>
        <w:ind w:firstLine="643" w:firstLineChars="200"/>
        <w:jc w:val="left"/>
        <w:rPr>
          <w:rFonts w:ascii="宋体" w:hAnsi="宋体"/>
          <w:sz w:val="32"/>
          <w:szCs w:val="32"/>
          <w:lang w:val="zh-CN"/>
        </w:rPr>
      </w:pPr>
      <w:r>
        <w:rPr>
          <w:rFonts w:hint="eastAsia" w:ascii="楷体_GB2312" w:hAnsi="宋体" w:eastAsia="楷体_GB2312"/>
          <w:b/>
          <w:sz w:val="32"/>
          <w:szCs w:val="32"/>
          <w:lang w:val="zh-CN"/>
        </w:rPr>
        <w:t>（二）改进措施。</w:t>
      </w:r>
    </w:p>
    <w:p>
      <w:pPr>
        <w:widowControl/>
        <w:adjustRightInd w:val="0"/>
        <w:snapToGrid w:val="0"/>
        <w:spacing w:line="58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在以后的工作中，我局将坚决贯彻落实中央八项规定，厉行节约，严格控制“三公”经费支出，建立完善长效机制。加强财政专项资金管理使用，以项目实施为载体发挥巨大社会价值，继续探索好的做法，学习如何科学合理制定绩效目标及考核体系，充分发挥绩效工作效用。细化预算编制工作，认真做好预算的编制，进一步加强部门预算管理意识。严格按照预算编制的相关制度和要求，本着“勤俭节约、保障运转”的原则进行预算的编制;编制范围尽可能的全面，不漏项;在预算编制时首先需满足固定性的、相对刚性的费用项目，尽量压缩变动性的、有控制空间的费用项目;杜绝预算编制粗放现象的发生，进一步提高预算编制的科学性、合理性、严谨性和可控性。</w:t>
      </w:r>
    </w:p>
    <w:p>
      <w:pPr>
        <w:widowControl/>
        <w:adjustRightInd w:val="0"/>
        <w:snapToGrid w:val="0"/>
        <w:spacing w:line="580" w:lineRule="exact"/>
        <w:ind w:firstLine="640" w:firstLineChars="200"/>
        <w:jc w:val="left"/>
        <w:rPr>
          <w:rFonts w:ascii="仿宋" w:hAnsi="仿宋" w:eastAsia="仿宋" w:cs="仿宋_GB2312"/>
          <w:sz w:val="32"/>
          <w:szCs w:val="32"/>
        </w:rPr>
      </w:pPr>
    </w:p>
    <w:p>
      <w:pPr>
        <w:widowControl/>
        <w:adjustRightInd w:val="0"/>
        <w:snapToGrid w:val="0"/>
        <w:spacing w:line="580" w:lineRule="exact"/>
        <w:ind w:firstLine="4160" w:firstLineChars="1300"/>
        <w:jc w:val="left"/>
        <w:rPr>
          <w:rFonts w:ascii="仿宋" w:hAnsi="仿宋" w:eastAsia="仿宋" w:cs="仿宋_GB2312"/>
          <w:sz w:val="32"/>
          <w:szCs w:val="32"/>
        </w:rPr>
      </w:pPr>
      <w:r>
        <w:rPr>
          <w:rFonts w:hint="eastAsia" w:ascii="仿宋" w:hAnsi="仿宋" w:eastAsia="仿宋" w:cs="仿宋_GB2312"/>
          <w:sz w:val="32"/>
          <w:szCs w:val="32"/>
        </w:rPr>
        <w:t>德阳市城市管理行政执法局</w:t>
      </w:r>
    </w:p>
    <w:p>
      <w:pPr>
        <w:widowControl/>
        <w:adjustRightInd w:val="0"/>
        <w:snapToGrid w:val="0"/>
        <w:spacing w:line="580" w:lineRule="exact"/>
        <w:ind w:firstLine="4800" w:firstLineChars="1500"/>
        <w:jc w:val="left"/>
        <w:rPr>
          <w:rFonts w:ascii="仿宋" w:hAnsi="仿宋" w:eastAsia="仿宋" w:cs="仿宋_GB2312"/>
          <w:sz w:val="32"/>
          <w:szCs w:val="32"/>
        </w:rPr>
      </w:pPr>
      <w:r>
        <w:rPr>
          <w:rFonts w:ascii="仿宋" w:hAnsi="仿宋" w:eastAsia="仿宋" w:cs="仿宋_GB2312"/>
          <w:sz w:val="32"/>
          <w:szCs w:val="32"/>
        </w:rPr>
        <w:t>2021年5月20日</w:t>
      </w:r>
    </w:p>
    <w:p>
      <w:pPr>
        <w:widowControl/>
        <w:adjustRightInd w:val="0"/>
        <w:snapToGrid w:val="0"/>
        <w:spacing w:line="580" w:lineRule="exact"/>
        <w:ind w:firstLine="640" w:firstLineChars="200"/>
        <w:jc w:val="left"/>
        <w:rPr>
          <w:rFonts w:ascii="仿宋" w:hAnsi="仿宋" w:eastAsia="仿宋" w:cs="仿宋_GB2312"/>
          <w:sz w:val="32"/>
          <w:szCs w:val="32"/>
        </w:rPr>
      </w:pPr>
    </w:p>
    <w:p>
      <w:pPr>
        <w:widowControl/>
        <w:adjustRightInd w:val="0"/>
        <w:snapToGrid w:val="0"/>
        <w:spacing w:line="580" w:lineRule="exact"/>
        <w:ind w:firstLine="420" w:firstLineChars="200"/>
        <w:jc w:val="left"/>
        <w:rPr>
          <w:rFonts w:ascii="仿宋" w:hAnsi="仿宋" w:eastAsia="仿宋" w:cs="仿宋_GB2312"/>
          <w:szCs w:val="32"/>
        </w:rPr>
      </w:pPr>
    </w:p>
    <w:p/>
    <w:p>
      <w:pPr>
        <w:pStyle w:val="2"/>
        <w:ind w:left="420"/>
      </w:pPr>
    </w:p>
    <w:p>
      <w:pPr>
        <w:jc w:val="center"/>
      </w:pPr>
    </w:p>
    <w:p>
      <w:pPr>
        <w:spacing w:line="580" w:lineRule="exact"/>
        <w:rPr>
          <w:rFonts w:ascii="黑体" w:hAnsi="黑体" w:eastAsia="黑体" w:cs="黑体"/>
          <w:sz w:val="32"/>
          <w:szCs w:val="32"/>
        </w:rPr>
      </w:pPr>
    </w:p>
    <w:p>
      <w:pPr>
        <w:spacing w:line="580" w:lineRule="exact"/>
        <w:rPr>
          <w:rFonts w:ascii="黑体" w:hAnsi="黑体" w:eastAsia="黑体" w:cs="黑体"/>
          <w:sz w:val="32"/>
          <w:szCs w:val="32"/>
        </w:rPr>
      </w:pPr>
    </w:p>
    <w:p>
      <w:pPr>
        <w:spacing w:line="580" w:lineRule="exact"/>
        <w:rPr>
          <w:rFonts w:ascii="黑体" w:hAnsi="黑体" w:eastAsia="黑体" w:cs="黑体"/>
          <w:sz w:val="32"/>
          <w:szCs w:val="32"/>
        </w:rPr>
      </w:pPr>
    </w:p>
    <w:p>
      <w:pPr>
        <w:spacing w:line="580" w:lineRule="exact"/>
        <w:rPr>
          <w:rFonts w:ascii="黑体" w:hAnsi="黑体" w:eastAsia="黑体" w:cs="黑体"/>
          <w:sz w:val="32"/>
          <w:szCs w:val="32"/>
        </w:rPr>
      </w:pPr>
    </w:p>
    <w:bookmarkEnd w:id="2"/>
    <w:bookmarkEnd w:id="3"/>
    <w:p>
      <w:pPr>
        <w:spacing w:line="600" w:lineRule="exact"/>
        <w:ind w:firstLine="640"/>
        <w:rPr>
          <w:rFonts w:ascii="仿宋_GB2312" w:hAnsi="仿宋_GB2312" w:eastAsia="仿宋_GB2312" w:cs="仿宋_GB2312"/>
          <w:sz w:val="32"/>
          <w:szCs w:val="32"/>
        </w:rPr>
      </w:pPr>
    </w:p>
    <w:p>
      <w:pPr>
        <w:widowControl/>
        <w:spacing w:line="600" w:lineRule="exact"/>
        <w:jc w:val="center"/>
        <w:outlineLvl w:val="0"/>
        <w:rPr>
          <w:rStyle w:val="22"/>
          <w:rFonts w:ascii="黑体" w:hAnsi="黑体" w:eastAsia="黑体"/>
          <w:b w:val="0"/>
        </w:rPr>
      </w:pPr>
      <w:bookmarkStart w:id="52" w:name="_Toc15396618"/>
      <w:bookmarkStart w:id="53" w:name="_Toc20315"/>
      <w:r>
        <w:rPr>
          <w:rFonts w:hint="eastAsia" w:ascii="黑体" w:hAnsi="黑体" w:eastAsia="黑体"/>
          <w:color w:val="000000"/>
          <w:sz w:val="44"/>
          <w:szCs w:val="44"/>
        </w:rPr>
        <w:t>第</w:t>
      </w:r>
      <w:r>
        <w:rPr>
          <w:rStyle w:val="22"/>
          <w:rFonts w:hint="eastAsia" w:ascii="黑体" w:hAnsi="黑体" w:eastAsia="黑体"/>
          <w:b w:val="0"/>
        </w:rPr>
        <w:t>五部分</w:t>
      </w:r>
      <w:r>
        <w:rPr>
          <w:rStyle w:val="22"/>
          <w:rFonts w:ascii="黑体" w:hAnsi="黑体" w:eastAsia="黑体"/>
          <w:b w:val="0"/>
        </w:rPr>
        <w:t xml:space="preserve"> </w:t>
      </w:r>
      <w:r>
        <w:rPr>
          <w:rStyle w:val="22"/>
          <w:rFonts w:hint="eastAsia" w:ascii="黑体" w:hAnsi="黑体" w:eastAsia="黑体"/>
          <w:b w:val="0"/>
        </w:rPr>
        <w:t>附表</w:t>
      </w:r>
      <w:bookmarkEnd w:id="52"/>
      <w:bookmarkEnd w:id="53"/>
    </w:p>
    <w:p>
      <w:pPr>
        <w:spacing w:line="600" w:lineRule="exact"/>
        <w:jc w:val="center"/>
        <w:rPr>
          <w:rFonts w:ascii="仿宋" w:hAnsi="仿宋" w:eastAsia="仿宋"/>
          <w:b/>
          <w:color w:val="000000"/>
          <w:sz w:val="44"/>
          <w:szCs w:val="44"/>
        </w:rPr>
      </w:pPr>
    </w:p>
    <w:p>
      <w:pPr>
        <w:pStyle w:val="5"/>
        <w:spacing w:before="0" w:after="0" w:line="600" w:lineRule="exact"/>
        <w:rPr>
          <w:rFonts w:ascii="仿宋" w:hAnsi="仿宋" w:eastAsia="仿宋"/>
          <w:color w:val="000000"/>
        </w:rPr>
      </w:pPr>
      <w:bookmarkStart w:id="54" w:name="_Toc22732"/>
      <w:bookmarkStart w:id="55" w:name="_Toc15396619"/>
      <w:r>
        <w:rPr>
          <w:rFonts w:hint="eastAsia" w:ascii="仿宋" w:hAnsi="仿宋" w:eastAsia="仿宋"/>
          <w:b w:val="0"/>
          <w:color w:val="000000"/>
        </w:rPr>
        <w:t>一、收</w:t>
      </w:r>
      <w:r>
        <w:rPr>
          <w:rStyle w:val="24"/>
          <w:rFonts w:hint="eastAsia" w:ascii="仿宋" w:hAnsi="仿宋" w:eastAsia="仿宋"/>
          <w:b w:val="0"/>
          <w:bCs w:val="0"/>
        </w:rPr>
        <w:t>入支出决算总表</w:t>
      </w:r>
      <w:bookmarkEnd w:id="54"/>
      <w:bookmarkEnd w:id="55"/>
    </w:p>
    <w:p>
      <w:pPr>
        <w:pStyle w:val="5"/>
        <w:spacing w:before="0" w:after="0" w:line="600" w:lineRule="exact"/>
        <w:rPr>
          <w:rFonts w:ascii="仿宋" w:hAnsi="仿宋" w:eastAsia="仿宋"/>
          <w:color w:val="000000"/>
        </w:rPr>
      </w:pPr>
      <w:bookmarkStart w:id="56" w:name="_Toc18237"/>
      <w:bookmarkStart w:id="57" w:name="_Toc15396620"/>
      <w:r>
        <w:rPr>
          <w:rFonts w:hint="eastAsia" w:ascii="仿宋" w:hAnsi="仿宋" w:eastAsia="仿宋"/>
          <w:b w:val="0"/>
          <w:color w:val="000000"/>
        </w:rPr>
        <w:t>二、收</w:t>
      </w:r>
      <w:r>
        <w:rPr>
          <w:rStyle w:val="24"/>
          <w:rFonts w:hint="eastAsia" w:ascii="仿宋" w:hAnsi="仿宋" w:eastAsia="仿宋"/>
          <w:b w:val="0"/>
          <w:bCs w:val="0"/>
        </w:rPr>
        <w:t>入决算表</w:t>
      </w:r>
      <w:bookmarkEnd w:id="56"/>
      <w:bookmarkEnd w:id="57"/>
    </w:p>
    <w:p>
      <w:pPr>
        <w:pStyle w:val="5"/>
        <w:spacing w:before="0" w:after="0" w:line="600" w:lineRule="exact"/>
        <w:rPr>
          <w:rFonts w:ascii="仿宋" w:hAnsi="仿宋" w:eastAsia="仿宋"/>
          <w:color w:val="000000"/>
        </w:rPr>
      </w:pPr>
      <w:bookmarkStart w:id="58" w:name="_Toc26893"/>
      <w:bookmarkStart w:id="59" w:name="_Toc15396621"/>
      <w:r>
        <w:rPr>
          <w:rStyle w:val="24"/>
          <w:rFonts w:hint="eastAsia" w:ascii="仿宋" w:hAnsi="仿宋" w:eastAsia="仿宋"/>
          <w:b w:val="0"/>
          <w:bCs w:val="0"/>
        </w:rPr>
        <w:t>三、</w:t>
      </w:r>
      <w:r>
        <w:rPr>
          <w:rFonts w:hint="eastAsia" w:ascii="仿宋" w:hAnsi="仿宋" w:eastAsia="仿宋"/>
          <w:b w:val="0"/>
          <w:color w:val="000000"/>
        </w:rPr>
        <w:t>支</w:t>
      </w:r>
      <w:r>
        <w:rPr>
          <w:rStyle w:val="24"/>
          <w:rFonts w:hint="eastAsia" w:ascii="仿宋" w:hAnsi="仿宋" w:eastAsia="仿宋"/>
          <w:b w:val="0"/>
          <w:bCs w:val="0"/>
        </w:rPr>
        <w:t>出决算表</w:t>
      </w:r>
      <w:bookmarkEnd w:id="58"/>
      <w:bookmarkEnd w:id="59"/>
    </w:p>
    <w:p>
      <w:pPr>
        <w:pStyle w:val="5"/>
        <w:spacing w:before="0" w:after="0" w:line="600" w:lineRule="exact"/>
        <w:rPr>
          <w:rFonts w:ascii="仿宋" w:hAnsi="仿宋" w:eastAsia="仿宋"/>
          <w:b w:val="0"/>
          <w:color w:val="000000"/>
        </w:rPr>
      </w:pPr>
      <w:bookmarkStart w:id="60" w:name="_Toc15396622"/>
      <w:bookmarkStart w:id="61" w:name="_Toc21478"/>
      <w:r>
        <w:rPr>
          <w:rStyle w:val="24"/>
          <w:rFonts w:hint="eastAsia" w:ascii="仿宋" w:hAnsi="仿宋" w:eastAsia="仿宋"/>
          <w:b w:val="0"/>
          <w:bCs w:val="0"/>
        </w:rPr>
        <w:t>四、</w:t>
      </w:r>
      <w:r>
        <w:rPr>
          <w:rFonts w:hint="eastAsia" w:ascii="仿宋" w:hAnsi="仿宋" w:eastAsia="仿宋"/>
          <w:b w:val="0"/>
          <w:color w:val="000000"/>
        </w:rPr>
        <w:t>财</w:t>
      </w:r>
      <w:r>
        <w:rPr>
          <w:rStyle w:val="24"/>
          <w:rFonts w:hint="eastAsia" w:ascii="仿宋" w:hAnsi="仿宋" w:eastAsia="仿宋"/>
          <w:b w:val="0"/>
          <w:bCs w:val="0"/>
        </w:rPr>
        <w:t>政拨款收入支出决算总表</w:t>
      </w:r>
      <w:bookmarkEnd w:id="60"/>
      <w:bookmarkEnd w:id="61"/>
    </w:p>
    <w:p>
      <w:pPr>
        <w:pStyle w:val="5"/>
        <w:spacing w:before="0" w:after="0" w:line="600" w:lineRule="exact"/>
        <w:rPr>
          <w:rStyle w:val="24"/>
          <w:rFonts w:ascii="仿宋" w:hAnsi="仿宋" w:eastAsia="仿宋"/>
          <w:b w:val="0"/>
          <w:bCs w:val="0"/>
        </w:rPr>
      </w:pPr>
      <w:bookmarkStart w:id="62" w:name="_Toc15396623"/>
      <w:bookmarkStart w:id="63" w:name="_Toc7023"/>
      <w:r>
        <w:rPr>
          <w:rStyle w:val="24"/>
          <w:rFonts w:hint="eastAsia" w:ascii="仿宋" w:hAnsi="仿宋" w:eastAsia="仿宋"/>
          <w:b w:val="0"/>
          <w:bCs w:val="0"/>
        </w:rPr>
        <w:t>五、</w:t>
      </w:r>
      <w:r>
        <w:rPr>
          <w:rFonts w:hint="eastAsia" w:ascii="仿宋" w:hAnsi="仿宋" w:eastAsia="仿宋"/>
          <w:b w:val="0"/>
          <w:color w:val="000000"/>
        </w:rPr>
        <w:t>财</w:t>
      </w:r>
      <w:r>
        <w:rPr>
          <w:rStyle w:val="24"/>
          <w:rFonts w:hint="eastAsia" w:ascii="仿宋" w:hAnsi="仿宋" w:eastAsia="仿宋"/>
          <w:b w:val="0"/>
          <w:bCs w:val="0"/>
        </w:rPr>
        <w:t>政拨款支出决算明细表</w:t>
      </w:r>
      <w:bookmarkEnd w:id="62"/>
      <w:bookmarkEnd w:id="63"/>
      <w:bookmarkStart w:id="64" w:name="_Toc15396624"/>
    </w:p>
    <w:p>
      <w:pPr>
        <w:pStyle w:val="5"/>
        <w:spacing w:before="0" w:after="0" w:line="600" w:lineRule="exact"/>
        <w:rPr>
          <w:rFonts w:ascii="仿宋" w:hAnsi="仿宋" w:eastAsia="仿宋"/>
          <w:color w:val="000000"/>
        </w:rPr>
      </w:pPr>
      <w:bookmarkStart w:id="65" w:name="_Toc458"/>
      <w:r>
        <w:rPr>
          <w:rStyle w:val="24"/>
          <w:rFonts w:hint="eastAsia" w:ascii="仿宋" w:hAnsi="仿宋" w:eastAsia="仿宋"/>
          <w:b w:val="0"/>
          <w:bCs w:val="0"/>
        </w:rPr>
        <w:t>六、</w:t>
      </w:r>
      <w:r>
        <w:rPr>
          <w:rFonts w:hint="eastAsia" w:ascii="仿宋" w:hAnsi="仿宋" w:eastAsia="仿宋"/>
          <w:b w:val="0"/>
          <w:color w:val="000000"/>
        </w:rPr>
        <w:t>一</w:t>
      </w:r>
      <w:r>
        <w:rPr>
          <w:rStyle w:val="24"/>
          <w:rFonts w:hint="eastAsia" w:ascii="仿宋" w:hAnsi="仿宋" w:eastAsia="仿宋"/>
          <w:b w:val="0"/>
          <w:bCs w:val="0"/>
        </w:rPr>
        <w:t>般公共预算财政拨款支出决算表</w:t>
      </w:r>
      <w:bookmarkEnd w:id="64"/>
      <w:bookmarkEnd w:id="65"/>
    </w:p>
    <w:p>
      <w:pPr>
        <w:pStyle w:val="5"/>
        <w:spacing w:before="0" w:after="0" w:line="600" w:lineRule="exact"/>
        <w:rPr>
          <w:rFonts w:ascii="仿宋" w:hAnsi="仿宋" w:eastAsia="仿宋"/>
          <w:color w:val="000000"/>
        </w:rPr>
      </w:pPr>
      <w:bookmarkStart w:id="66" w:name="_Toc22600"/>
      <w:bookmarkStart w:id="67" w:name="_Toc15396625"/>
      <w:r>
        <w:rPr>
          <w:rStyle w:val="24"/>
          <w:rFonts w:hint="eastAsia" w:ascii="仿宋" w:hAnsi="仿宋" w:eastAsia="仿宋"/>
          <w:b w:val="0"/>
          <w:bCs w:val="0"/>
        </w:rPr>
        <w:t>七、</w:t>
      </w:r>
      <w:r>
        <w:rPr>
          <w:rFonts w:hint="eastAsia" w:ascii="仿宋" w:hAnsi="仿宋" w:eastAsia="仿宋"/>
          <w:b w:val="0"/>
          <w:color w:val="000000"/>
        </w:rPr>
        <w:t>一</w:t>
      </w:r>
      <w:r>
        <w:rPr>
          <w:rStyle w:val="24"/>
          <w:rFonts w:hint="eastAsia" w:ascii="仿宋" w:hAnsi="仿宋" w:eastAsia="仿宋"/>
          <w:b w:val="0"/>
          <w:bCs w:val="0"/>
        </w:rPr>
        <w:t>般公共预算财政拨款支出决算明细表</w:t>
      </w:r>
      <w:bookmarkEnd w:id="66"/>
      <w:bookmarkEnd w:id="67"/>
    </w:p>
    <w:p>
      <w:pPr>
        <w:pStyle w:val="5"/>
        <w:spacing w:before="0" w:after="0" w:line="600" w:lineRule="exact"/>
        <w:rPr>
          <w:rFonts w:ascii="仿宋" w:hAnsi="仿宋" w:eastAsia="仿宋"/>
          <w:color w:val="000000"/>
        </w:rPr>
      </w:pPr>
      <w:bookmarkStart w:id="68" w:name="_Toc15396626"/>
      <w:bookmarkStart w:id="69" w:name="_Toc14031"/>
      <w:r>
        <w:rPr>
          <w:rStyle w:val="24"/>
          <w:rFonts w:hint="eastAsia" w:ascii="仿宋" w:hAnsi="仿宋" w:eastAsia="仿宋"/>
          <w:b w:val="0"/>
          <w:bCs w:val="0"/>
        </w:rPr>
        <w:t>八、</w:t>
      </w:r>
      <w:r>
        <w:rPr>
          <w:rFonts w:hint="eastAsia" w:ascii="仿宋" w:hAnsi="仿宋" w:eastAsia="仿宋"/>
          <w:b w:val="0"/>
          <w:color w:val="000000"/>
        </w:rPr>
        <w:t>一</w:t>
      </w:r>
      <w:r>
        <w:rPr>
          <w:rStyle w:val="24"/>
          <w:rFonts w:hint="eastAsia" w:ascii="仿宋" w:hAnsi="仿宋" w:eastAsia="仿宋"/>
          <w:b w:val="0"/>
          <w:bCs w:val="0"/>
        </w:rPr>
        <w:t>般公共预算财政拨款基本支出决算表</w:t>
      </w:r>
      <w:bookmarkEnd w:id="68"/>
      <w:bookmarkEnd w:id="69"/>
    </w:p>
    <w:p>
      <w:pPr>
        <w:pStyle w:val="5"/>
        <w:spacing w:before="0" w:after="0" w:line="600" w:lineRule="exact"/>
        <w:rPr>
          <w:rFonts w:ascii="仿宋" w:hAnsi="仿宋" w:eastAsia="仿宋"/>
          <w:color w:val="000000"/>
        </w:rPr>
      </w:pPr>
      <w:bookmarkStart w:id="70" w:name="_Toc15396627"/>
      <w:bookmarkStart w:id="71" w:name="_Toc14633"/>
      <w:r>
        <w:rPr>
          <w:rStyle w:val="24"/>
          <w:rFonts w:hint="eastAsia" w:ascii="仿宋" w:hAnsi="仿宋" w:eastAsia="仿宋"/>
          <w:b w:val="0"/>
          <w:bCs w:val="0"/>
        </w:rPr>
        <w:t>九、</w:t>
      </w:r>
      <w:r>
        <w:rPr>
          <w:rFonts w:hint="eastAsia" w:ascii="仿宋" w:hAnsi="仿宋" w:eastAsia="仿宋"/>
          <w:b w:val="0"/>
          <w:color w:val="000000"/>
        </w:rPr>
        <w:t>一</w:t>
      </w:r>
      <w:r>
        <w:rPr>
          <w:rStyle w:val="24"/>
          <w:rFonts w:hint="eastAsia" w:ascii="仿宋" w:hAnsi="仿宋" w:eastAsia="仿宋"/>
          <w:b w:val="0"/>
          <w:bCs w:val="0"/>
        </w:rPr>
        <w:t>般公共预算财政拨款项目支出决算表</w:t>
      </w:r>
      <w:bookmarkEnd w:id="70"/>
      <w:bookmarkEnd w:id="71"/>
    </w:p>
    <w:p>
      <w:pPr>
        <w:pStyle w:val="5"/>
        <w:spacing w:before="0" w:after="0" w:line="600" w:lineRule="exact"/>
        <w:rPr>
          <w:rFonts w:ascii="仿宋" w:hAnsi="仿宋" w:eastAsia="仿宋"/>
          <w:color w:val="000000"/>
        </w:rPr>
      </w:pPr>
      <w:bookmarkStart w:id="72" w:name="_Toc15396628"/>
      <w:bookmarkStart w:id="73" w:name="_Toc19582"/>
      <w:r>
        <w:rPr>
          <w:rStyle w:val="24"/>
          <w:rFonts w:hint="eastAsia" w:ascii="仿宋" w:hAnsi="仿宋" w:eastAsia="仿宋"/>
          <w:b w:val="0"/>
          <w:bCs w:val="0"/>
        </w:rPr>
        <w:t>十、</w:t>
      </w:r>
      <w:r>
        <w:rPr>
          <w:rFonts w:hint="eastAsia" w:ascii="仿宋" w:hAnsi="仿宋" w:eastAsia="仿宋"/>
          <w:b w:val="0"/>
          <w:color w:val="000000"/>
        </w:rPr>
        <w:t>一</w:t>
      </w:r>
      <w:r>
        <w:rPr>
          <w:rStyle w:val="24"/>
          <w:rFonts w:hint="eastAsia" w:ascii="仿宋" w:hAnsi="仿宋" w:eastAsia="仿宋"/>
          <w:b w:val="0"/>
          <w:bCs w:val="0"/>
        </w:rPr>
        <w:t>般公共预算财政拨款“三公”经费支出决算表</w:t>
      </w:r>
      <w:bookmarkEnd w:id="72"/>
      <w:bookmarkEnd w:id="73"/>
    </w:p>
    <w:p>
      <w:pPr>
        <w:pStyle w:val="5"/>
        <w:spacing w:before="0" w:after="0" w:line="600" w:lineRule="exact"/>
        <w:rPr>
          <w:rFonts w:ascii="仿宋" w:hAnsi="仿宋" w:eastAsia="仿宋"/>
          <w:color w:val="000000"/>
        </w:rPr>
      </w:pPr>
      <w:bookmarkStart w:id="74" w:name="_Toc9928"/>
      <w:bookmarkStart w:id="75" w:name="_Toc15396629"/>
      <w:r>
        <w:rPr>
          <w:rStyle w:val="24"/>
          <w:rFonts w:hint="eastAsia" w:ascii="仿宋" w:hAnsi="仿宋" w:eastAsia="仿宋"/>
          <w:b w:val="0"/>
          <w:bCs w:val="0"/>
        </w:rPr>
        <w:t>十一、</w:t>
      </w:r>
      <w:r>
        <w:rPr>
          <w:rFonts w:hint="eastAsia" w:ascii="仿宋" w:hAnsi="仿宋" w:eastAsia="仿宋"/>
          <w:b w:val="0"/>
          <w:color w:val="000000"/>
        </w:rPr>
        <w:t>政</w:t>
      </w:r>
      <w:r>
        <w:rPr>
          <w:rStyle w:val="24"/>
          <w:rFonts w:hint="eastAsia" w:ascii="仿宋" w:hAnsi="仿宋" w:eastAsia="仿宋"/>
          <w:b w:val="0"/>
          <w:bCs w:val="0"/>
        </w:rPr>
        <w:t>府性基金预算财政拨款收入支出决算表</w:t>
      </w:r>
      <w:bookmarkEnd w:id="74"/>
      <w:bookmarkEnd w:id="75"/>
    </w:p>
    <w:p>
      <w:pPr>
        <w:pStyle w:val="5"/>
        <w:spacing w:before="0" w:after="0" w:line="600" w:lineRule="exact"/>
        <w:rPr>
          <w:rFonts w:ascii="仿宋" w:hAnsi="仿宋" w:eastAsia="仿宋"/>
          <w:color w:val="000000"/>
        </w:rPr>
      </w:pPr>
      <w:bookmarkStart w:id="76" w:name="_Toc15396630"/>
      <w:bookmarkStart w:id="77" w:name="_Toc28861"/>
      <w:r>
        <w:rPr>
          <w:rStyle w:val="24"/>
          <w:rFonts w:hint="eastAsia" w:ascii="仿宋" w:hAnsi="仿宋" w:eastAsia="仿宋"/>
          <w:b w:val="0"/>
          <w:bCs w:val="0"/>
        </w:rPr>
        <w:t>十二、</w:t>
      </w:r>
      <w:r>
        <w:rPr>
          <w:rFonts w:hint="eastAsia" w:ascii="仿宋" w:hAnsi="仿宋" w:eastAsia="仿宋"/>
          <w:b w:val="0"/>
          <w:color w:val="000000"/>
        </w:rPr>
        <w:t>政</w:t>
      </w:r>
      <w:r>
        <w:rPr>
          <w:rStyle w:val="24"/>
          <w:rFonts w:hint="eastAsia" w:ascii="仿宋" w:hAnsi="仿宋" w:eastAsia="仿宋"/>
          <w:b w:val="0"/>
          <w:bCs w:val="0"/>
        </w:rPr>
        <w:t>府性基金预算财政拨款“三公”经费支出决算表</w:t>
      </w:r>
      <w:bookmarkEnd w:id="76"/>
      <w:bookmarkEnd w:id="77"/>
    </w:p>
    <w:p>
      <w:pPr>
        <w:pStyle w:val="5"/>
        <w:spacing w:before="0" w:after="0" w:line="600" w:lineRule="exact"/>
        <w:rPr>
          <w:rStyle w:val="24"/>
          <w:rFonts w:ascii="仿宋" w:hAnsi="仿宋" w:eastAsia="仿宋"/>
          <w:b w:val="0"/>
          <w:bCs w:val="0"/>
        </w:rPr>
      </w:pPr>
      <w:bookmarkStart w:id="78" w:name="_Toc1875"/>
      <w:bookmarkStart w:id="79" w:name="_Toc15396631"/>
      <w:r>
        <w:rPr>
          <w:rStyle w:val="24"/>
          <w:rFonts w:hint="eastAsia" w:ascii="仿宋" w:hAnsi="仿宋" w:eastAsia="仿宋"/>
          <w:b w:val="0"/>
          <w:bCs w:val="0"/>
        </w:rPr>
        <w:t>十三、</w:t>
      </w:r>
      <w:r>
        <w:rPr>
          <w:rFonts w:hint="eastAsia" w:ascii="仿宋" w:hAnsi="仿宋" w:eastAsia="仿宋"/>
          <w:b w:val="0"/>
          <w:color w:val="000000"/>
        </w:rPr>
        <w:t>国</w:t>
      </w:r>
      <w:r>
        <w:rPr>
          <w:rStyle w:val="24"/>
          <w:rFonts w:hint="eastAsia" w:ascii="仿宋" w:hAnsi="仿宋" w:eastAsia="仿宋"/>
          <w:b w:val="0"/>
          <w:bCs w:val="0"/>
        </w:rPr>
        <w:t>有资本经营预算财政拨款支出决算表</w:t>
      </w:r>
      <w:bookmarkEnd w:id="78"/>
      <w:bookmarkEnd w:id="79"/>
    </w:p>
    <w:p>
      <w:pPr>
        <w:spacing w:line="600" w:lineRule="exact"/>
        <w:rPr>
          <w:rStyle w:val="24"/>
          <w:rFonts w:ascii="仿宋" w:hAnsi="仿宋" w:eastAsia="仿宋"/>
          <w:b w:val="0"/>
        </w:rPr>
      </w:pPr>
      <w:r>
        <w:rPr>
          <w:rStyle w:val="24"/>
          <w:rFonts w:hint="eastAsia" w:ascii="仿宋" w:hAnsi="仿宋" w:eastAsia="仿宋"/>
          <w:b w:val="0"/>
        </w:rPr>
        <w:t>十四、国有资本经营预算财政拨款支出决算表</w:t>
      </w:r>
    </w:p>
    <w:bookmarkEnd w:id="4"/>
    <w:p>
      <w:pPr>
        <w:pStyle w:val="2"/>
        <w:ind w:leftChars="0" w:firstLine="0"/>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2934676"/>
      <w:docPartObj>
        <w:docPartGallery w:val="autotext"/>
      </w:docPartObj>
    </w:sdtPr>
    <w:sdtContent>
      <w:p>
        <w:pPr>
          <w:pStyle w:val="11"/>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0E866978"/>
    <w:multiLevelType w:val="multilevel"/>
    <w:tmpl w:val="0E866978"/>
    <w:lvl w:ilvl="0" w:tentative="0">
      <w:start w:val="3"/>
      <w:numFmt w:val="japaneseCounting"/>
      <w:lvlText w:val="%1、"/>
      <w:lvlJc w:val="left"/>
      <w:pPr>
        <w:ind w:left="1360" w:hanging="720"/>
      </w:pPr>
      <w:rPr>
        <w:rFonts w:hint="default" w:cs="黑体"/>
        <w:color w:val="00000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b w:val="0"/>
        <w:bCs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iODliZTY3MmUzMWMxMjFhNzA4NGZhMTBhYTg5MTAifQ=="/>
  </w:docVars>
  <w:rsids>
    <w:rsidRoot w:val="00934184"/>
    <w:rsid w:val="00002C10"/>
    <w:rsid w:val="00005269"/>
    <w:rsid w:val="0000678E"/>
    <w:rsid w:val="000241FD"/>
    <w:rsid w:val="00025E73"/>
    <w:rsid w:val="00027DE7"/>
    <w:rsid w:val="000304C2"/>
    <w:rsid w:val="00040BE4"/>
    <w:rsid w:val="000436EB"/>
    <w:rsid w:val="0004523A"/>
    <w:rsid w:val="00054248"/>
    <w:rsid w:val="00060575"/>
    <w:rsid w:val="00065D87"/>
    <w:rsid w:val="0006630A"/>
    <w:rsid w:val="0007144A"/>
    <w:rsid w:val="0008281D"/>
    <w:rsid w:val="00090F33"/>
    <w:rsid w:val="00093301"/>
    <w:rsid w:val="000A192C"/>
    <w:rsid w:val="000A1CD9"/>
    <w:rsid w:val="000B216F"/>
    <w:rsid w:val="000C1344"/>
    <w:rsid w:val="000C7CD8"/>
    <w:rsid w:val="000E5B8D"/>
    <w:rsid w:val="000F4204"/>
    <w:rsid w:val="000F53CF"/>
    <w:rsid w:val="000F5543"/>
    <w:rsid w:val="000F7590"/>
    <w:rsid w:val="001037D5"/>
    <w:rsid w:val="00116565"/>
    <w:rsid w:val="00122599"/>
    <w:rsid w:val="00123DE7"/>
    <w:rsid w:val="00126B2A"/>
    <w:rsid w:val="0013021B"/>
    <w:rsid w:val="001455E3"/>
    <w:rsid w:val="001569AD"/>
    <w:rsid w:val="00161E33"/>
    <w:rsid w:val="00162E91"/>
    <w:rsid w:val="00163B34"/>
    <w:rsid w:val="00163B4D"/>
    <w:rsid w:val="0016413A"/>
    <w:rsid w:val="00165239"/>
    <w:rsid w:val="00165427"/>
    <w:rsid w:val="0017167A"/>
    <w:rsid w:val="00171E57"/>
    <w:rsid w:val="00180BD7"/>
    <w:rsid w:val="00190DD2"/>
    <w:rsid w:val="00196FBE"/>
    <w:rsid w:val="001A03E0"/>
    <w:rsid w:val="001A4B98"/>
    <w:rsid w:val="001B38DA"/>
    <w:rsid w:val="001B512B"/>
    <w:rsid w:val="001C163E"/>
    <w:rsid w:val="001C65C5"/>
    <w:rsid w:val="001F07F7"/>
    <w:rsid w:val="0020020D"/>
    <w:rsid w:val="002011D5"/>
    <w:rsid w:val="0020460E"/>
    <w:rsid w:val="00210FAF"/>
    <w:rsid w:val="00213F26"/>
    <w:rsid w:val="00220BBA"/>
    <w:rsid w:val="002238BA"/>
    <w:rsid w:val="002244B1"/>
    <w:rsid w:val="00227878"/>
    <w:rsid w:val="00235DD1"/>
    <w:rsid w:val="00235FDD"/>
    <w:rsid w:val="00241F5D"/>
    <w:rsid w:val="00244F71"/>
    <w:rsid w:val="002464D5"/>
    <w:rsid w:val="00251BCC"/>
    <w:rsid w:val="00256D63"/>
    <w:rsid w:val="00272D25"/>
    <w:rsid w:val="0027589E"/>
    <w:rsid w:val="00276E0C"/>
    <w:rsid w:val="00277822"/>
    <w:rsid w:val="002814A2"/>
    <w:rsid w:val="00284343"/>
    <w:rsid w:val="00285CAA"/>
    <w:rsid w:val="00295A1A"/>
    <w:rsid w:val="002B63A1"/>
    <w:rsid w:val="002C185A"/>
    <w:rsid w:val="002C3E6A"/>
    <w:rsid w:val="002D16E9"/>
    <w:rsid w:val="002D3FCF"/>
    <w:rsid w:val="002E40E0"/>
    <w:rsid w:val="002F6B3D"/>
    <w:rsid w:val="00300D87"/>
    <w:rsid w:val="00300DAE"/>
    <w:rsid w:val="003038F6"/>
    <w:rsid w:val="00307064"/>
    <w:rsid w:val="0034020C"/>
    <w:rsid w:val="003444CF"/>
    <w:rsid w:val="00344D6E"/>
    <w:rsid w:val="00346029"/>
    <w:rsid w:val="00351FF2"/>
    <w:rsid w:val="00356BC5"/>
    <w:rsid w:val="00372BF1"/>
    <w:rsid w:val="00387396"/>
    <w:rsid w:val="00391092"/>
    <w:rsid w:val="00391761"/>
    <w:rsid w:val="00395013"/>
    <w:rsid w:val="00397C66"/>
    <w:rsid w:val="003A3B0D"/>
    <w:rsid w:val="003A5A49"/>
    <w:rsid w:val="003B3CDB"/>
    <w:rsid w:val="003B42F2"/>
    <w:rsid w:val="003B5EF0"/>
    <w:rsid w:val="003C6319"/>
    <w:rsid w:val="003D2A19"/>
    <w:rsid w:val="003D5AD8"/>
    <w:rsid w:val="003E1E05"/>
    <w:rsid w:val="003E3A3F"/>
    <w:rsid w:val="00415D10"/>
    <w:rsid w:val="0041786E"/>
    <w:rsid w:val="00434925"/>
    <w:rsid w:val="0044572B"/>
    <w:rsid w:val="004576F8"/>
    <w:rsid w:val="00465357"/>
    <w:rsid w:val="00471F57"/>
    <w:rsid w:val="0047510F"/>
    <w:rsid w:val="00484078"/>
    <w:rsid w:val="00485AC3"/>
    <w:rsid w:val="004A202A"/>
    <w:rsid w:val="004B17EC"/>
    <w:rsid w:val="004B2098"/>
    <w:rsid w:val="004C3853"/>
    <w:rsid w:val="004C4296"/>
    <w:rsid w:val="004C663A"/>
    <w:rsid w:val="004D0DFA"/>
    <w:rsid w:val="004E4B55"/>
    <w:rsid w:val="004F055A"/>
    <w:rsid w:val="004F35D7"/>
    <w:rsid w:val="004F59C3"/>
    <w:rsid w:val="00500A61"/>
    <w:rsid w:val="0051658D"/>
    <w:rsid w:val="00531136"/>
    <w:rsid w:val="00533E91"/>
    <w:rsid w:val="00534CAB"/>
    <w:rsid w:val="00537F21"/>
    <w:rsid w:val="0054292E"/>
    <w:rsid w:val="005431AA"/>
    <w:rsid w:val="005446A6"/>
    <w:rsid w:val="005454AE"/>
    <w:rsid w:val="00557E63"/>
    <w:rsid w:val="00562D54"/>
    <w:rsid w:val="00565D8E"/>
    <w:rsid w:val="005746E4"/>
    <w:rsid w:val="00574C56"/>
    <w:rsid w:val="00577B58"/>
    <w:rsid w:val="00585764"/>
    <w:rsid w:val="0059375F"/>
    <w:rsid w:val="005A267C"/>
    <w:rsid w:val="005A283F"/>
    <w:rsid w:val="005C28C7"/>
    <w:rsid w:val="005C7B56"/>
    <w:rsid w:val="005D3F96"/>
    <w:rsid w:val="005D48F6"/>
    <w:rsid w:val="005D7709"/>
    <w:rsid w:val="005E41E0"/>
    <w:rsid w:val="005E510C"/>
    <w:rsid w:val="005F7E18"/>
    <w:rsid w:val="00604411"/>
    <w:rsid w:val="00605A9D"/>
    <w:rsid w:val="00607A95"/>
    <w:rsid w:val="00612932"/>
    <w:rsid w:val="00617DB0"/>
    <w:rsid w:val="006222AD"/>
    <w:rsid w:val="0062765F"/>
    <w:rsid w:val="00632AB1"/>
    <w:rsid w:val="00633CFD"/>
    <w:rsid w:val="00647DFD"/>
    <w:rsid w:val="006513EF"/>
    <w:rsid w:val="00660643"/>
    <w:rsid w:val="00675A46"/>
    <w:rsid w:val="00675BF3"/>
    <w:rsid w:val="00685BF4"/>
    <w:rsid w:val="0069292F"/>
    <w:rsid w:val="00696189"/>
    <w:rsid w:val="006A6296"/>
    <w:rsid w:val="006B4135"/>
    <w:rsid w:val="006B4C73"/>
    <w:rsid w:val="006B52FE"/>
    <w:rsid w:val="006E1102"/>
    <w:rsid w:val="006F1530"/>
    <w:rsid w:val="006F643D"/>
    <w:rsid w:val="006F6779"/>
    <w:rsid w:val="007168D7"/>
    <w:rsid w:val="00716A00"/>
    <w:rsid w:val="00721E37"/>
    <w:rsid w:val="00723487"/>
    <w:rsid w:val="00725D40"/>
    <w:rsid w:val="00741AF4"/>
    <w:rsid w:val="00773055"/>
    <w:rsid w:val="007756AF"/>
    <w:rsid w:val="00781BC3"/>
    <w:rsid w:val="00790FFD"/>
    <w:rsid w:val="00791AAA"/>
    <w:rsid w:val="00794320"/>
    <w:rsid w:val="007A3333"/>
    <w:rsid w:val="007A4733"/>
    <w:rsid w:val="007A74C6"/>
    <w:rsid w:val="007B0230"/>
    <w:rsid w:val="007B24CF"/>
    <w:rsid w:val="007B2ACC"/>
    <w:rsid w:val="007B3ACD"/>
    <w:rsid w:val="007C34D7"/>
    <w:rsid w:val="007C54CE"/>
    <w:rsid w:val="007C72C2"/>
    <w:rsid w:val="007E4B5F"/>
    <w:rsid w:val="00810D56"/>
    <w:rsid w:val="0083154E"/>
    <w:rsid w:val="00833540"/>
    <w:rsid w:val="00854E24"/>
    <w:rsid w:val="00870ADE"/>
    <w:rsid w:val="00874C68"/>
    <w:rsid w:val="008862D1"/>
    <w:rsid w:val="00886A6C"/>
    <w:rsid w:val="0089242B"/>
    <w:rsid w:val="00894E86"/>
    <w:rsid w:val="008A0183"/>
    <w:rsid w:val="008A7BC8"/>
    <w:rsid w:val="008B40C4"/>
    <w:rsid w:val="008E0CEC"/>
    <w:rsid w:val="008E1E94"/>
    <w:rsid w:val="008E2A2C"/>
    <w:rsid w:val="008E6397"/>
    <w:rsid w:val="008E6E0F"/>
    <w:rsid w:val="008E7C2B"/>
    <w:rsid w:val="008F69AD"/>
    <w:rsid w:val="00901835"/>
    <w:rsid w:val="00904C6A"/>
    <w:rsid w:val="00914BD2"/>
    <w:rsid w:val="00917C40"/>
    <w:rsid w:val="00927556"/>
    <w:rsid w:val="00927849"/>
    <w:rsid w:val="00934184"/>
    <w:rsid w:val="00942CF4"/>
    <w:rsid w:val="009431D7"/>
    <w:rsid w:val="009440F0"/>
    <w:rsid w:val="009541D1"/>
    <w:rsid w:val="00960D1B"/>
    <w:rsid w:val="00970A24"/>
    <w:rsid w:val="009741D0"/>
    <w:rsid w:val="00981ED9"/>
    <w:rsid w:val="00983243"/>
    <w:rsid w:val="009A547F"/>
    <w:rsid w:val="009A63EF"/>
    <w:rsid w:val="009B4809"/>
    <w:rsid w:val="009B7A29"/>
    <w:rsid w:val="009C4535"/>
    <w:rsid w:val="009E7630"/>
    <w:rsid w:val="00A0715F"/>
    <w:rsid w:val="00A11F0B"/>
    <w:rsid w:val="00A15D0D"/>
    <w:rsid w:val="00A16BBD"/>
    <w:rsid w:val="00A21594"/>
    <w:rsid w:val="00A243B5"/>
    <w:rsid w:val="00A255B1"/>
    <w:rsid w:val="00A32807"/>
    <w:rsid w:val="00A33582"/>
    <w:rsid w:val="00A36258"/>
    <w:rsid w:val="00A45AB1"/>
    <w:rsid w:val="00A617EB"/>
    <w:rsid w:val="00A65DC5"/>
    <w:rsid w:val="00A7724B"/>
    <w:rsid w:val="00A8141D"/>
    <w:rsid w:val="00A82515"/>
    <w:rsid w:val="00A87344"/>
    <w:rsid w:val="00A92D5A"/>
    <w:rsid w:val="00A93BD9"/>
    <w:rsid w:val="00AB0E6E"/>
    <w:rsid w:val="00AB207D"/>
    <w:rsid w:val="00AC0510"/>
    <w:rsid w:val="00AC6D53"/>
    <w:rsid w:val="00AE100D"/>
    <w:rsid w:val="00AE11E0"/>
    <w:rsid w:val="00AF2E15"/>
    <w:rsid w:val="00B110C4"/>
    <w:rsid w:val="00B16201"/>
    <w:rsid w:val="00B42A36"/>
    <w:rsid w:val="00B50B3A"/>
    <w:rsid w:val="00B53657"/>
    <w:rsid w:val="00B6017A"/>
    <w:rsid w:val="00B64C80"/>
    <w:rsid w:val="00B7164F"/>
    <w:rsid w:val="00B77D83"/>
    <w:rsid w:val="00B81479"/>
    <w:rsid w:val="00B85840"/>
    <w:rsid w:val="00B9162B"/>
    <w:rsid w:val="00B93D21"/>
    <w:rsid w:val="00B96B5B"/>
    <w:rsid w:val="00BB2801"/>
    <w:rsid w:val="00BC49FA"/>
    <w:rsid w:val="00BC4C05"/>
    <w:rsid w:val="00BD02F0"/>
    <w:rsid w:val="00BD42C6"/>
    <w:rsid w:val="00BD49EE"/>
    <w:rsid w:val="00BD741F"/>
    <w:rsid w:val="00BE3E7A"/>
    <w:rsid w:val="00BE6405"/>
    <w:rsid w:val="00BF42B6"/>
    <w:rsid w:val="00C10BCB"/>
    <w:rsid w:val="00C15B83"/>
    <w:rsid w:val="00C207A1"/>
    <w:rsid w:val="00C21AFD"/>
    <w:rsid w:val="00C31091"/>
    <w:rsid w:val="00C3497D"/>
    <w:rsid w:val="00C45462"/>
    <w:rsid w:val="00C57ABB"/>
    <w:rsid w:val="00C6475F"/>
    <w:rsid w:val="00C64814"/>
    <w:rsid w:val="00C923BA"/>
    <w:rsid w:val="00CA624B"/>
    <w:rsid w:val="00CB082F"/>
    <w:rsid w:val="00CC6326"/>
    <w:rsid w:val="00CD0D80"/>
    <w:rsid w:val="00CD3115"/>
    <w:rsid w:val="00CE00D7"/>
    <w:rsid w:val="00CE09AF"/>
    <w:rsid w:val="00CE3270"/>
    <w:rsid w:val="00CE3821"/>
    <w:rsid w:val="00CF223D"/>
    <w:rsid w:val="00CF2889"/>
    <w:rsid w:val="00CF6C3E"/>
    <w:rsid w:val="00CF7A6F"/>
    <w:rsid w:val="00D219F9"/>
    <w:rsid w:val="00D31DE7"/>
    <w:rsid w:val="00D34AB3"/>
    <w:rsid w:val="00D7654D"/>
    <w:rsid w:val="00D81402"/>
    <w:rsid w:val="00D843D5"/>
    <w:rsid w:val="00D8557E"/>
    <w:rsid w:val="00DB15D0"/>
    <w:rsid w:val="00DB2D00"/>
    <w:rsid w:val="00DB33B6"/>
    <w:rsid w:val="00DC0F3B"/>
    <w:rsid w:val="00DC63E0"/>
    <w:rsid w:val="00DD323B"/>
    <w:rsid w:val="00E05637"/>
    <w:rsid w:val="00E117B0"/>
    <w:rsid w:val="00E121DD"/>
    <w:rsid w:val="00E1411B"/>
    <w:rsid w:val="00E14E52"/>
    <w:rsid w:val="00E157D9"/>
    <w:rsid w:val="00E2330B"/>
    <w:rsid w:val="00E308DD"/>
    <w:rsid w:val="00E32F48"/>
    <w:rsid w:val="00E56BA0"/>
    <w:rsid w:val="00E605A2"/>
    <w:rsid w:val="00E61060"/>
    <w:rsid w:val="00E74AD7"/>
    <w:rsid w:val="00E94471"/>
    <w:rsid w:val="00EA2782"/>
    <w:rsid w:val="00EB2158"/>
    <w:rsid w:val="00ED09F1"/>
    <w:rsid w:val="00ED18E1"/>
    <w:rsid w:val="00ED22B9"/>
    <w:rsid w:val="00ED5087"/>
    <w:rsid w:val="00ED697F"/>
    <w:rsid w:val="00ED7C9E"/>
    <w:rsid w:val="00EE21CF"/>
    <w:rsid w:val="00EE3194"/>
    <w:rsid w:val="00EE382F"/>
    <w:rsid w:val="00EE6795"/>
    <w:rsid w:val="00EE73A7"/>
    <w:rsid w:val="00EF4180"/>
    <w:rsid w:val="00F11E55"/>
    <w:rsid w:val="00F12A70"/>
    <w:rsid w:val="00F16AB4"/>
    <w:rsid w:val="00F22FB3"/>
    <w:rsid w:val="00F42154"/>
    <w:rsid w:val="00F507CC"/>
    <w:rsid w:val="00F51ACD"/>
    <w:rsid w:val="00F53351"/>
    <w:rsid w:val="00F6060C"/>
    <w:rsid w:val="00F66935"/>
    <w:rsid w:val="00F70347"/>
    <w:rsid w:val="00F70AD2"/>
    <w:rsid w:val="00F71480"/>
    <w:rsid w:val="00F72DBE"/>
    <w:rsid w:val="00F75161"/>
    <w:rsid w:val="00FB5A7F"/>
    <w:rsid w:val="00FC00B6"/>
    <w:rsid w:val="00FC0A7D"/>
    <w:rsid w:val="00FC2653"/>
    <w:rsid w:val="00FD5210"/>
    <w:rsid w:val="00FE3C29"/>
    <w:rsid w:val="00FE5660"/>
    <w:rsid w:val="3B8B1344"/>
    <w:rsid w:val="45431C02"/>
    <w:rsid w:val="622404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link w:val="22"/>
    <w:qFormat/>
    <w:uiPriority w:val="9"/>
    <w:pPr>
      <w:keepNext/>
      <w:keepLines/>
      <w:spacing w:before="340" w:after="330" w:line="578" w:lineRule="auto"/>
      <w:outlineLvl w:val="0"/>
    </w:pPr>
    <w:rPr>
      <w:rFonts w:ascii="Times New Roman" w:hAnsi="Times New Roman"/>
      <w:b/>
      <w:bCs/>
      <w:kern w:val="44"/>
      <w:sz w:val="44"/>
      <w:szCs w:val="44"/>
    </w:rPr>
  </w:style>
  <w:style w:type="paragraph" w:styleId="5">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4"/>
    <w:basedOn w:val="1"/>
    <w:next w:val="1"/>
    <w:link w:val="3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6">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21"/>
    <w:qFormat/>
    <w:uiPriority w:val="0"/>
    <w:pPr>
      <w:ind w:left="0" w:firstLine="420"/>
    </w:pPr>
    <w:rPr>
      <w:rFonts w:ascii="仿宋_GB2312" w:eastAsia="仿宋_GB2312" w:cs="仿宋_GB2312"/>
      <w:sz w:val="32"/>
      <w:szCs w:val="32"/>
    </w:rPr>
  </w:style>
  <w:style w:type="paragraph" w:styleId="3">
    <w:name w:val="Body Text Indent"/>
    <w:basedOn w:val="1"/>
    <w:link w:val="20"/>
    <w:semiHidden/>
    <w:unhideWhenUsed/>
    <w:uiPriority w:val="99"/>
    <w:pPr>
      <w:spacing w:after="120"/>
      <w:ind w:left="420" w:leftChars="200"/>
    </w:pPr>
  </w:style>
  <w:style w:type="paragraph" w:styleId="7">
    <w:name w:val="Document Map"/>
    <w:basedOn w:val="1"/>
    <w:link w:val="33"/>
    <w:semiHidden/>
    <w:unhideWhenUsed/>
    <w:uiPriority w:val="99"/>
    <w:rPr>
      <w:rFonts w:ascii="宋体"/>
      <w:sz w:val="18"/>
      <w:szCs w:val="18"/>
    </w:rPr>
  </w:style>
  <w:style w:type="paragraph" w:styleId="8">
    <w:name w:val="Salutation"/>
    <w:basedOn w:val="1"/>
    <w:next w:val="1"/>
    <w:link w:val="19"/>
    <w:qFormat/>
    <w:uiPriority w:val="0"/>
  </w:style>
  <w:style w:type="paragraph" w:styleId="9">
    <w:name w:val="Body Text"/>
    <w:basedOn w:val="1"/>
    <w:link w:val="23"/>
    <w:unhideWhenUsed/>
    <w:uiPriority w:val="99"/>
    <w:pPr>
      <w:spacing w:after="120"/>
    </w:pPr>
  </w:style>
  <w:style w:type="paragraph" w:styleId="10">
    <w:name w:val="Balloon Text"/>
    <w:basedOn w:val="1"/>
    <w:link w:val="26"/>
    <w:semiHidden/>
    <w:unhideWhenUsed/>
    <w:uiPriority w:val="99"/>
    <w:rPr>
      <w:sz w:val="18"/>
      <w:szCs w:val="18"/>
    </w:rPr>
  </w:style>
  <w:style w:type="paragraph" w:styleId="11">
    <w:name w:val="footer"/>
    <w:basedOn w:val="1"/>
    <w:link w:val="28"/>
    <w:unhideWhenUsed/>
    <w:uiPriority w:val="99"/>
    <w:pPr>
      <w:tabs>
        <w:tab w:val="center" w:pos="4153"/>
        <w:tab w:val="right" w:pos="8306"/>
      </w:tabs>
      <w:snapToGrid w:val="0"/>
      <w:jc w:val="left"/>
    </w:pPr>
    <w:rPr>
      <w:sz w:val="18"/>
      <w:szCs w:val="18"/>
    </w:rPr>
  </w:style>
  <w:style w:type="paragraph" w:styleId="12">
    <w:name w:val="header"/>
    <w:basedOn w:val="1"/>
    <w:link w:val="27"/>
    <w:semiHidden/>
    <w:unhideWhenUsed/>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4">
    <w:name w:val="toc 2"/>
    <w:basedOn w:val="1"/>
    <w:next w:val="1"/>
    <w:unhideWhenUsed/>
    <w:qFormat/>
    <w:uiPriority w:val="39"/>
    <w:pPr>
      <w:tabs>
        <w:tab w:val="right" w:leader="dot" w:pos="8296"/>
      </w:tabs>
      <w:ind w:left="420" w:leftChars="200"/>
    </w:pPr>
    <w:rPr>
      <w:rFonts w:ascii="Times New Roman" w:hAnsi="Times New Roman"/>
    </w:rPr>
  </w:style>
  <w:style w:type="character" w:styleId="17">
    <w:name w:val="Strong"/>
    <w:basedOn w:val="16"/>
    <w:qFormat/>
    <w:uiPriority w:val="99"/>
    <w:rPr>
      <w:b/>
      <w:bCs/>
    </w:rPr>
  </w:style>
  <w:style w:type="character" w:styleId="18">
    <w:name w:val="Hyperlink"/>
    <w:basedOn w:val="16"/>
    <w:unhideWhenUsed/>
    <w:qFormat/>
    <w:uiPriority w:val="99"/>
    <w:rPr>
      <w:color w:val="0000FF" w:themeColor="hyperlink"/>
      <w:u w:val="single"/>
      <w14:textFill>
        <w14:solidFill>
          <w14:schemeClr w14:val="hlink"/>
        </w14:solidFill>
      </w14:textFill>
    </w:rPr>
  </w:style>
  <w:style w:type="character" w:customStyle="1" w:styleId="19">
    <w:name w:val="称呼 Char"/>
    <w:basedOn w:val="16"/>
    <w:link w:val="8"/>
    <w:uiPriority w:val="0"/>
    <w:rPr>
      <w:rFonts w:ascii="Calibri" w:hAnsi="Calibri" w:eastAsia="宋体" w:cs="Times New Roman"/>
      <w:szCs w:val="24"/>
    </w:rPr>
  </w:style>
  <w:style w:type="character" w:customStyle="1" w:styleId="20">
    <w:name w:val="正文文本缩进 Char"/>
    <w:basedOn w:val="16"/>
    <w:link w:val="3"/>
    <w:semiHidden/>
    <w:uiPriority w:val="99"/>
    <w:rPr>
      <w:rFonts w:ascii="Calibri" w:hAnsi="Calibri" w:eastAsia="宋体" w:cs="Times New Roman"/>
      <w:szCs w:val="24"/>
    </w:rPr>
  </w:style>
  <w:style w:type="character" w:customStyle="1" w:styleId="21">
    <w:name w:val="正文首行缩进 2 Char"/>
    <w:basedOn w:val="20"/>
    <w:link w:val="2"/>
    <w:uiPriority w:val="0"/>
    <w:rPr>
      <w:rFonts w:ascii="仿宋_GB2312" w:eastAsia="仿宋_GB2312" w:cs="仿宋_GB2312"/>
      <w:sz w:val="32"/>
      <w:szCs w:val="32"/>
    </w:rPr>
  </w:style>
  <w:style w:type="character" w:customStyle="1" w:styleId="22">
    <w:name w:val="标题 1 Char"/>
    <w:basedOn w:val="16"/>
    <w:link w:val="4"/>
    <w:qFormat/>
    <w:uiPriority w:val="9"/>
    <w:rPr>
      <w:rFonts w:ascii="Times New Roman" w:hAnsi="Times New Roman" w:eastAsia="宋体" w:cs="Times New Roman"/>
      <w:b/>
      <w:bCs/>
      <w:kern w:val="44"/>
      <w:sz w:val="44"/>
      <w:szCs w:val="44"/>
    </w:rPr>
  </w:style>
  <w:style w:type="character" w:customStyle="1" w:styleId="23">
    <w:name w:val="正文文本 Char"/>
    <w:basedOn w:val="16"/>
    <w:link w:val="9"/>
    <w:uiPriority w:val="99"/>
    <w:rPr>
      <w:rFonts w:ascii="Calibri" w:hAnsi="Calibri" w:eastAsia="宋体" w:cs="Times New Roman"/>
      <w:szCs w:val="24"/>
    </w:rPr>
  </w:style>
  <w:style w:type="character" w:customStyle="1" w:styleId="24">
    <w:name w:val="标题 2 Char"/>
    <w:basedOn w:val="16"/>
    <w:link w:val="5"/>
    <w:qFormat/>
    <w:uiPriority w:val="9"/>
    <w:rPr>
      <w:rFonts w:asciiTheme="majorHAnsi" w:hAnsiTheme="majorHAnsi" w:eastAsiaTheme="majorEastAsia" w:cstheme="majorBidi"/>
      <w:b/>
      <w:bCs/>
      <w:sz w:val="32"/>
      <w:szCs w:val="32"/>
    </w:rPr>
  </w:style>
  <w:style w:type="paragraph" w:styleId="25">
    <w:name w:val="List Paragraph"/>
    <w:basedOn w:val="1"/>
    <w:qFormat/>
    <w:uiPriority w:val="99"/>
    <w:pPr>
      <w:ind w:firstLine="420" w:firstLineChars="200"/>
    </w:pPr>
    <w:rPr>
      <w:rFonts w:ascii="Times New Roman" w:hAnsi="Times New Roman"/>
      <w:szCs w:val="21"/>
    </w:rPr>
  </w:style>
  <w:style w:type="character" w:customStyle="1" w:styleId="26">
    <w:name w:val="批注框文本 Char"/>
    <w:basedOn w:val="16"/>
    <w:link w:val="10"/>
    <w:semiHidden/>
    <w:uiPriority w:val="99"/>
    <w:rPr>
      <w:rFonts w:ascii="Calibri" w:hAnsi="Calibri" w:eastAsia="宋体" w:cs="Times New Roman"/>
      <w:sz w:val="18"/>
      <w:szCs w:val="18"/>
    </w:rPr>
  </w:style>
  <w:style w:type="character" w:customStyle="1" w:styleId="27">
    <w:name w:val="页眉 Char"/>
    <w:basedOn w:val="16"/>
    <w:link w:val="12"/>
    <w:semiHidden/>
    <w:uiPriority w:val="99"/>
    <w:rPr>
      <w:rFonts w:ascii="Calibri" w:hAnsi="Calibri" w:eastAsia="宋体" w:cs="Times New Roman"/>
      <w:sz w:val="18"/>
      <w:szCs w:val="18"/>
    </w:rPr>
  </w:style>
  <w:style w:type="character" w:customStyle="1" w:styleId="28">
    <w:name w:val="页脚 Char"/>
    <w:basedOn w:val="16"/>
    <w:link w:val="11"/>
    <w:uiPriority w:val="99"/>
    <w:rPr>
      <w:rFonts w:ascii="Calibri" w:hAnsi="Calibri" w:eastAsia="宋体" w:cs="Times New Roman"/>
      <w:sz w:val="18"/>
      <w:szCs w:val="18"/>
    </w:rPr>
  </w:style>
  <w:style w:type="paragraph" w:customStyle="1" w:styleId="29">
    <w:name w:val="_Style 2"/>
    <w:basedOn w:val="1"/>
    <w:uiPriority w:val="0"/>
    <w:pPr>
      <w:spacing w:line="240" w:lineRule="atLeast"/>
      <w:ind w:left="420" w:firstLine="420"/>
    </w:pPr>
    <w:rPr>
      <w:rFonts w:ascii="Times New Roman" w:hAnsi="Times New Roman"/>
      <w:kern w:val="0"/>
      <w:szCs w:val="21"/>
    </w:rPr>
  </w:style>
  <w:style w:type="paragraph" w:customStyle="1" w:styleId="30">
    <w:name w:val="Defaul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character" w:customStyle="1" w:styleId="31">
    <w:name w:val="标题 4 Char"/>
    <w:basedOn w:val="16"/>
    <w:link w:val="6"/>
    <w:uiPriority w:val="99"/>
    <w:rPr>
      <w:rFonts w:asciiTheme="majorHAnsi" w:hAnsiTheme="majorHAnsi" w:eastAsiaTheme="majorEastAsia" w:cstheme="majorBidi"/>
      <w:b/>
      <w:bCs/>
      <w:sz w:val="28"/>
      <w:szCs w:val="28"/>
    </w:rPr>
  </w:style>
  <w:style w:type="character" w:customStyle="1" w:styleId="32">
    <w:name w:val="Body Text Char"/>
    <w:semiHidden/>
    <w:qFormat/>
    <w:uiPriority w:val="99"/>
    <w:rPr>
      <w:rFonts w:ascii="Times New Roman" w:hAnsi="Times New Roman" w:cs="Times New Roman"/>
      <w:sz w:val="24"/>
      <w:szCs w:val="24"/>
    </w:rPr>
  </w:style>
  <w:style w:type="character" w:customStyle="1" w:styleId="33">
    <w:name w:val="文档结构图 Char"/>
    <w:basedOn w:val="16"/>
    <w:link w:val="7"/>
    <w:semiHidden/>
    <w:uiPriority w:val="99"/>
    <w:rPr>
      <w:rFonts w:ascii="宋体"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hart" Target="charts/chart5.xml"/><Relationship Id="rId8" Type="http://schemas.openxmlformats.org/officeDocument/2006/relationships/chart" Target="charts/chart4.xml"/><Relationship Id="rId7" Type="http://schemas.openxmlformats.org/officeDocument/2006/relationships/chart" Target="charts/chart3.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chart" Target="charts/chart7.xml"/><Relationship Id="rId10" Type="http://schemas.openxmlformats.org/officeDocument/2006/relationships/chart" Target="charts/chart6.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4.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Workbook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Workbook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Workbook7.xlsx"/></Relationships>
</file>

<file path=word/charts/_rels/chart7.xml.rels><?xml version="1.0" encoding="UTF-8" standalone="yes"?>
<Relationships xmlns="http://schemas.openxmlformats.org/package/2006/relationships"><Relationship Id="rId1" Type="http://schemas.openxmlformats.org/officeDocument/2006/relationships/package" Target="../embeddings/Workbook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795532490933579"/>
          <c:y val="0.0330952301848346"/>
          <c:w val="0.920446750906639"/>
          <c:h val="0.727891156462601"/>
        </c:manualLayout>
      </c:layout>
      <c:barChart>
        <c:barDir val="col"/>
        <c:grouping val="clustered"/>
        <c:varyColors val="0"/>
        <c:ser>
          <c:idx val="0"/>
          <c:order val="0"/>
          <c:tx>
            <c:strRef>
              <c:f>Sheet1!$A$2</c:f>
              <c:strCache>
                <c:ptCount val="1"/>
                <c:pt idx="0">
                  <c:v>2019年</c:v>
                </c:pt>
              </c:strCache>
            </c:strRef>
          </c:tx>
          <c:spPr>
            <a:solidFill>
              <a:srgbClr val="9999FF"/>
            </a:solidFill>
            <a:ln w="12726">
              <a:solidFill>
                <a:srgbClr val="000000"/>
              </a:solidFill>
              <a:prstDash val="solid"/>
            </a:ln>
          </c:spPr>
          <c:invertIfNegative val="0"/>
          <c:dLbls>
            <c:dLbl>
              <c:idx val="0"/>
              <c:layout>
                <c:manualLayout>
                  <c:x val="0"/>
                  <c:y val="0.16248506571087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0694856692646285"/>
                  <c:y val="0.229390681003584"/>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5451">
                <a:noFill/>
              </a:ln>
              <a:effectLst/>
            </c:spPr>
            <c:txPr>
              <a:bodyPr rot="0" spcFirstLastPara="0" vertOverflow="ellipsis" vert="horz" wrap="square" lIns="38100" tIns="19050" rIns="38100" bIns="19050" anchor="ctr" anchorCtr="1"/>
              <a:lstStyle/>
              <a:p>
                <a:pPr>
                  <a:defRPr lang="zh-CN" sz="80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Sheet1!$B$1:$C$1</c:f>
              <c:strCache>
                <c:ptCount val="2"/>
                <c:pt idx="0">
                  <c:v>收入</c:v>
                </c:pt>
                <c:pt idx="1">
                  <c:v>支出</c:v>
                </c:pt>
              </c:strCache>
            </c:strRef>
          </c:cat>
          <c:val>
            <c:numRef>
              <c:f>Sheet1!$B$2:$C$2</c:f>
              <c:numCache>
                <c:formatCode>General</c:formatCode>
                <c:ptCount val="2"/>
                <c:pt idx="0">
                  <c:v>32656.84</c:v>
                </c:pt>
                <c:pt idx="1">
                  <c:v>34726.14</c:v>
                </c:pt>
              </c:numCache>
            </c:numRef>
          </c:val>
        </c:ser>
        <c:ser>
          <c:idx val="1"/>
          <c:order val="1"/>
          <c:tx>
            <c:strRef>
              <c:f>Sheet1!$A$3</c:f>
              <c:strCache>
                <c:ptCount val="1"/>
                <c:pt idx="0">
                  <c:v>2020年</c:v>
                </c:pt>
              </c:strCache>
            </c:strRef>
          </c:tx>
          <c:spPr>
            <a:solidFill>
              <a:srgbClr val="993366"/>
            </a:solidFill>
            <a:ln w="12726">
              <a:solidFill>
                <a:srgbClr val="000000"/>
              </a:solidFill>
              <a:prstDash val="solid"/>
            </a:ln>
          </c:spPr>
          <c:invertIfNegative val="0"/>
          <c:dLbls>
            <c:dLbl>
              <c:idx val="0"/>
              <c:layout>
                <c:manualLayout>
                  <c:x val="-0.00231618897548761"/>
                  <c:y val="0.152927120669056"/>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0463237795097522"/>
                  <c:y val="0.109916367980884"/>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5451">
                <a:noFill/>
              </a:ln>
              <a:effectLst/>
            </c:spPr>
            <c:txPr>
              <a:bodyPr rot="0" spcFirstLastPara="0" vertOverflow="ellipsis" vert="horz" wrap="square" lIns="38100" tIns="19050" rIns="38100" bIns="19050" anchor="ctr" anchorCtr="1"/>
              <a:lstStyle/>
              <a:p>
                <a:pPr>
                  <a:defRPr lang="zh-CN" sz="80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Sheet1!$B$1:$C$1</c:f>
              <c:strCache>
                <c:ptCount val="2"/>
                <c:pt idx="0">
                  <c:v>收入</c:v>
                </c:pt>
                <c:pt idx="1">
                  <c:v>支出</c:v>
                </c:pt>
              </c:strCache>
            </c:strRef>
          </c:cat>
          <c:val>
            <c:numRef>
              <c:f>Sheet1!$B$3:$C$3</c:f>
              <c:numCache>
                <c:formatCode>General</c:formatCode>
                <c:ptCount val="2"/>
                <c:pt idx="0">
                  <c:v>33118.23</c:v>
                </c:pt>
                <c:pt idx="1">
                  <c:v>32291.54</c:v>
                </c:pt>
              </c:numCache>
            </c:numRef>
          </c:val>
        </c:ser>
        <c:dLbls>
          <c:showLegendKey val="0"/>
          <c:showVal val="1"/>
          <c:showCatName val="0"/>
          <c:showSerName val="0"/>
          <c:showPercent val="0"/>
          <c:showBubbleSize val="0"/>
        </c:dLbls>
        <c:gapWidth val="150"/>
        <c:axId val="90830336"/>
        <c:axId val="90831872"/>
      </c:barChart>
      <c:catAx>
        <c:axId val="90830336"/>
        <c:scaling>
          <c:orientation val="minMax"/>
        </c:scaling>
        <c:delete val="0"/>
        <c:axPos val="b"/>
        <c:numFmt formatCode="General" sourceLinked="1"/>
        <c:majorTickMark val="in"/>
        <c:minorTickMark val="none"/>
        <c:tickLblPos val="low"/>
        <c:spPr>
          <a:ln w="3181" cap="flat" cmpd="sng" algn="ctr">
            <a:solidFill>
              <a:srgbClr val="000000"/>
            </a:solidFill>
            <a:prstDash val="solid"/>
            <a:round/>
          </a:ln>
        </c:spPr>
        <c:txPr>
          <a:bodyPr rot="0" spcFirstLastPara="0" vertOverflow="ellipsis" vert="horz" wrap="square" anchor="ctr" anchorCtr="1"/>
          <a:lstStyle/>
          <a:p>
            <a:pPr>
              <a:defRPr lang="zh-CN" sz="80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crossAx val="90831872"/>
        <c:crosses val="autoZero"/>
        <c:auto val="1"/>
        <c:lblAlgn val="ctr"/>
        <c:lblOffset val="100"/>
        <c:tickLblSkip val="1"/>
        <c:noMultiLvlLbl val="0"/>
      </c:catAx>
      <c:valAx>
        <c:axId val="90831872"/>
        <c:scaling>
          <c:orientation val="minMax"/>
        </c:scaling>
        <c:delete val="0"/>
        <c:axPos val="l"/>
        <c:majorGridlines>
          <c:spPr>
            <a:ln w="3181" cap="flat" cmpd="sng" algn="ctr">
              <a:solidFill>
                <a:srgbClr val="000000"/>
              </a:solidFill>
              <a:prstDash val="solid"/>
              <a:round/>
            </a:ln>
          </c:spPr>
        </c:majorGridlines>
        <c:numFmt formatCode="General" sourceLinked="1"/>
        <c:majorTickMark val="in"/>
        <c:minorTickMark val="none"/>
        <c:tickLblPos val="nextTo"/>
        <c:spPr>
          <a:ln w="3181" cap="flat" cmpd="sng" algn="ctr">
            <a:solidFill>
              <a:srgbClr val="000000"/>
            </a:solidFill>
            <a:prstDash val="solid"/>
            <a:round/>
          </a:ln>
        </c:spPr>
        <c:txPr>
          <a:bodyPr rot="0" spcFirstLastPara="0" vertOverflow="ellipsis" vert="horz" wrap="square" anchor="ctr" anchorCtr="1"/>
          <a:lstStyle/>
          <a:p>
            <a:pPr>
              <a:defRPr lang="zh-CN" sz="80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crossAx val="90830336"/>
        <c:crosses val="autoZero"/>
        <c:crossBetween val="between"/>
      </c:valAx>
      <c:spPr>
        <a:solidFill>
          <a:srgbClr val="C0C0C0"/>
        </a:solidFill>
        <a:ln w="12700">
          <a:solidFill>
            <a:srgbClr val="808080"/>
          </a:solidFill>
          <a:prstDash val="solid"/>
        </a:ln>
        <a:effectLst/>
      </c:spPr>
    </c:plotArea>
    <c:legend>
      <c:legendPos val="r"/>
      <c:layout>
        <c:manualLayout>
          <c:xMode val="edge"/>
          <c:yMode val="edge"/>
          <c:x val="0.859907407154109"/>
          <c:y val="0.755735801841975"/>
          <c:w val="0.0877168121579863"/>
          <c:h val="0.224489795918367"/>
        </c:manualLayout>
      </c:layout>
      <c:overlay val="0"/>
      <c:spPr>
        <a:noFill/>
        <a:ln w="3181">
          <a:solidFill>
            <a:srgbClr val="000000"/>
          </a:solidFill>
          <a:prstDash val="solid"/>
        </a:ln>
      </c:spPr>
      <c:txPr>
        <a:bodyPr rot="0" spcFirstLastPara="0" vertOverflow="ellipsis" vert="horz" wrap="square" anchor="ctr" anchorCtr="1"/>
        <a:lstStyle/>
        <a:p>
          <a:pPr>
            <a:defRPr lang="zh-CN" sz="735"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legend>
    <c:plotVisOnly val="1"/>
    <c:dispBlanksAs val="gap"/>
    <c:showDLblsOverMax val="0"/>
  </c:chart>
  <c:spPr>
    <a:noFill/>
    <a:ln w="9525" cap="flat" cmpd="sng" algn="ctr">
      <a:noFill/>
      <a:prstDash val="solid"/>
      <a:round/>
    </a:ln>
  </c:spPr>
  <c:txPr>
    <a:bodyPr/>
    <a:lstStyle/>
    <a:p>
      <a:pPr>
        <a:defRPr lang="zh-CN" sz="800" b="0" i="0" u="none" strike="noStrike" baseline="0">
          <a:solidFill>
            <a:srgbClr val="000000"/>
          </a:solidFill>
          <a:latin typeface="宋体" panose="02010600030101010101" charset="-122"/>
          <a:ea typeface="宋体" panose="02010600030101010101" charset="-122"/>
          <a:cs typeface="宋体" panose="02010600030101010101" charset="-122"/>
        </a:defRPr>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996117653967957"/>
          <c:y val="0.0927488258853053"/>
          <c:w val="0.352065991751031"/>
          <c:h val="0.837786842175422"/>
        </c:manualLayout>
      </c:layout>
      <c:pieChart>
        <c:varyColors val="1"/>
        <c:ser>
          <c:idx val="0"/>
          <c:order val="0"/>
          <c:tx>
            <c:strRef>
              <c:f>Sheet1!$A$2</c:f>
              <c:strCache>
                <c:ptCount val="1"/>
                <c:pt idx="0">
                  <c:v>收入</c:v>
                </c:pt>
              </c:strCache>
            </c:strRef>
          </c:tx>
          <c:explosion val="67"/>
          <c:dPt>
            <c:idx val="0"/>
            <c:bubble3D val="0"/>
          </c:dPt>
          <c:dPt>
            <c:idx val="1"/>
            <c:bubble3D val="0"/>
          </c:dPt>
          <c:dLbls>
            <c:spPr>
              <a:noFill/>
              <a:ln w="33260">
                <a:noFill/>
              </a:ln>
              <a:effectLst/>
            </c:spPr>
            <c:txPr>
              <a:bodyPr rot="0" spcFirstLastPara="0" vertOverflow="ellipsis" vert="horz" wrap="square" lIns="38100" tIns="19050" rIns="38100" bIns="19050" anchor="ctr" anchorCtr="1"/>
              <a:lstStyle/>
              <a:p>
                <a:pPr>
                  <a:defRPr lang="zh-CN" sz="105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dLblPos val="bestFit"/>
            <c:showLegendKey val="0"/>
            <c:showVal val="1"/>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Sheet1!$B$1:$C$1</c:f>
              <c:strCache>
                <c:ptCount val="2"/>
                <c:pt idx="0">
                  <c:v>一般公共预算财政拨款收入</c:v>
                </c:pt>
                <c:pt idx="1">
                  <c:v>其他收入</c:v>
                </c:pt>
              </c:strCache>
            </c:strRef>
          </c:cat>
          <c:val>
            <c:numRef>
              <c:f>Sheet1!$B$2:$C$2</c:f>
              <c:numCache>
                <c:formatCode>General</c:formatCode>
                <c:ptCount val="2"/>
                <c:pt idx="0">
                  <c:v>3318.18</c:v>
                </c:pt>
                <c:pt idx="1">
                  <c:v>0.05</c:v>
                </c:pt>
              </c:numCache>
            </c:numRef>
          </c:val>
        </c:ser>
        <c:dLbls>
          <c:showLegendKey val="0"/>
          <c:showVal val="1"/>
          <c:showCatName val="0"/>
          <c:showSerName val="0"/>
          <c:showPercent val="0"/>
          <c:showBubbleSize val="0"/>
          <c:showLeaderLines val="1"/>
        </c:dLbls>
        <c:firstSliceAng val="51"/>
      </c:pieChart>
      <c:spPr>
        <a:solidFill>
          <a:srgbClr val="C0C0C0"/>
        </a:solidFill>
        <a:ln w="16630">
          <a:solidFill>
            <a:srgbClr val="808080"/>
          </a:solidFill>
          <a:prstDash val="solid"/>
        </a:ln>
      </c:spPr>
    </c:plotArea>
    <c:legend>
      <c:legendPos val="r"/>
      <c:layout>
        <c:manualLayout>
          <c:xMode val="edge"/>
          <c:yMode val="edge"/>
          <c:x val="0.670822942643406"/>
          <c:y val="0.210526315789476"/>
          <c:w val="0.319201995012475"/>
          <c:h val="0.578947368421053"/>
        </c:manualLayout>
      </c:layout>
      <c:overlay val="0"/>
      <c:spPr>
        <a:noFill/>
        <a:ln w="4157">
          <a:solidFill>
            <a:srgbClr val="000000"/>
          </a:solidFill>
          <a:prstDash val="solid"/>
        </a:ln>
      </c:spPr>
      <c:txPr>
        <a:bodyPr rot="0" spcFirstLastPara="0" vertOverflow="ellipsis" vert="horz" wrap="square" anchor="ctr" anchorCtr="1"/>
        <a:lstStyle/>
        <a:p>
          <a:pPr>
            <a:defRPr lang="zh-CN" sz="96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legend>
    <c:plotVisOnly val="1"/>
    <c:dispBlanksAs val="zero"/>
    <c:showDLblsOverMax val="0"/>
  </c:chart>
  <c:spPr>
    <a:noFill/>
    <a:ln w="9525" cap="flat" cmpd="sng" algn="ctr">
      <a:noFill/>
      <a:prstDash val="solid"/>
      <a:round/>
    </a:ln>
  </c:spPr>
  <c:txPr>
    <a:bodyPr/>
    <a:lstStyle/>
    <a:p>
      <a:pPr>
        <a:defRPr lang="zh-CN" sz="1050" b="0" i="0" u="none" strike="noStrike" baseline="0">
          <a:solidFill>
            <a:srgbClr val="000000"/>
          </a:solidFill>
          <a:latin typeface="宋体" panose="02010600030101010101" charset="-122"/>
          <a:ea typeface="宋体" panose="02010600030101010101" charset="-122"/>
          <a:cs typeface="宋体" panose="02010600030101010101" charset="-122"/>
        </a:defRPr>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5714592424413"/>
          <c:y val="0.0396898849182314"/>
          <c:w val="0.388399057479778"/>
          <c:h val="0.8919340467057"/>
        </c:manualLayout>
      </c:layout>
      <c:pieChart>
        <c:varyColors val="1"/>
        <c:ser>
          <c:idx val="0"/>
          <c:order val="0"/>
          <c:tx>
            <c:strRef>
              <c:f>Sheet1!$A$2</c:f>
              <c:strCache>
                <c:ptCount val="1"/>
                <c:pt idx="0">
                  <c:v>2020年支出</c:v>
                </c:pt>
              </c:strCache>
            </c:strRef>
          </c:tx>
          <c:spPr>
            <a:solidFill>
              <a:srgbClr val="9999FF"/>
            </a:solidFill>
            <a:ln w="16040">
              <a:solidFill>
                <a:srgbClr val="000000"/>
              </a:solidFill>
              <a:prstDash val="solid"/>
            </a:ln>
          </c:spPr>
          <c:explosion val="0"/>
          <c:dPt>
            <c:idx val="0"/>
            <c:bubble3D val="0"/>
            <c:spPr>
              <a:solidFill>
                <a:srgbClr val="9999FF"/>
              </a:solidFill>
              <a:ln w="16040">
                <a:solidFill>
                  <a:srgbClr val="000000"/>
                </a:solidFill>
                <a:prstDash val="solid"/>
              </a:ln>
            </c:spPr>
          </c:dPt>
          <c:dPt>
            <c:idx val="1"/>
            <c:bubble3D val="0"/>
            <c:spPr>
              <a:solidFill>
                <a:srgbClr val="993366"/>
              </a:solidFill>
              <a:ln w="16040">
                <a:solidFill>
                  <a:srgbClr val="000000"/>
                </a:solidFill>
                <a:prstDash val="solid"/>
              </a:ln>
            </c:spPr>
          </c:dPt>
          <c:dLbls>
            <c:spPr>
              <a:noFill/>
              <a:ln w="32080">
                <a:noFill/>
              </a:ln>
              <a:effectLst/>
            </c:spPr>
            <c:txPr>
              <a:bodyPr rot="0" spcFirstLastPara="0" vertOverflow="ellipsis" vert="horz" wrap="square" lIns="38100" tIns="19050" rIns="38100" bIns="19050" anchor="ctr" anchorCtr="1"/>
              <a:lstStyle/>
              <a:p>
                <a:pPr>
                  <a:defRPr lang="zh-CN" sz="101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ext>
            </c:extLst>
          </c:dLbls>
          <c:cat>
            <c:strRef>
              <c:f>Sheet1!$B$1:$C$1</c:f>
              <c:strCache>
                <c:ptCount val="2"/>
                <c:pt idx="0">
                  <c:v>基本支出</c:v>
                </c:pt>
                <c:pt idx="1">
                  <c:v>项目支出</c:v>
                </c:pt>
              </c:strCache>
            </c:strRef>
          </c:cat>
          <c:val>
            <c:numRef>
              <c:f>Sheet1!$B$2:$C$2</c:f>
              <c:numCache>
                <c:formatCode>General</c:formatCode>
                <c:ptCount val="2"/>
                <c:pt idx="0">
                  <c:v>10305.82</c:v>
                </c:pt>
                <c:pt idx="1">
                  <c:v>21985.72</c:v>
                </c:pt>
              </c:numCache>
            </c:numRef>
          </c:val>
        </c:ser>
        <c:dLbls>
          <c:showLegendKey val="0"/>
          <c:showVal val="1"/>
          <c:showCatName val="0"/>
          <c:showSerName val="0"/>
          <c:showPercent val="0"/>
          <c:showBubbleSize val="0"/>
          <c:showLeaderLines val="1"/>
        </c:dLbls>
        <c:firstSliceAng val="0"/>
      </c:pieChart>
      <c:spPr>
        <a:solidFill>
          <a:srgbClr val="C0C0C0"/>
        </a:solidFill>
        <a:ln w="16040">
          <a:solidFill>
            <a:srgbClr val="808080"/>
          </a:solidFill>
          <a:prstDash val="solid"/>
        </a:ln>
      </c:spPr>
    </c:plotArea>
    <c:legend>
      <c:legendPos val="r"/>
      <c:layout>
        <c:manualLayout>
          <c:xMode val="edge"/>
          <c:yMode val="edge"/>
          <c:x val="0.640979662818227"/>
          <c:y val="0.363377885456629"/>
          <c:w val="0.137472283813747"/>
          <c:h val="0.218543046357618"/>
        </c:manualLayout>
      </c:layout>
      <c:overlay val="0"/>
      <c:spPr>
        <a:noFill/>
        <a:ln w="4010">
          <a:solidFill>
            <a:srgbClr val="000000"/>
          </a:solidFill>
          <a:prstDash val="solid"/>
        </a:ln>
      </c:spPr>
      <c:txPr>
        <a:bodyPr rot="0" spcFirstLastPara="0" vertOverflow="ellipsis" vert="horz" wrap="square" anchor="ctr" anchorCtr="1"/>
        <a:lstStyle/>
        <a:p>
          <a:pPr>
            <a:defRPr lang="zh-CN" sz="93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legend>
    <c:plotVisOnly val="1"/>
    <c:dispBlanksAs val="zero"/>
    <c:showDLblsOverMax val="0"/>
  </c:chart>
  <c:spPr>
    <a:noFill/>
    <a:ln w="9525" cap="flat" cmpd="sng" algn="ctr">
      <a:noFill/>
      <a:prstDash val="solid"/>
      <a:round/>
    </a:ln>
  </c:spPr>
  <c:txPr>
    <a:bodyPr/>
    <a:lstStyle/>
    <a:p>
      <a:pPr>
        <a:defRPr lang="zh-CN" sz="1010" b="0" i="0" u="none" strike="noStrike" baseline="0">
          <a:solidFill>
            <a:srgbClr val="000000"/>
          </a:solidFill>
          <a:latin typeface="宋体" panose="02010600030101010101" charset="-122"/>
          <a:ea typeface="宋体" panose="02010600030101010101" charset="-122"/>
          <a:cs typeface="宋体" panose="02010600030101010101" charset="-122"/>
        </a:defRPr>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719106265563"/>
          <c:y val="0.0584418252066318"/>
          <c:w val="0.7109375"/>
          <c:h val="0.740259740259741"/>
        </c:manualLayout>
      </c:layout>
      <c:barChart>
        <c:barDir val="col"/>
        <c:grouping val="clustered"/>
        <c:varyColors val="0"/>
        <c:ser>
          <c:idx val="0"/>
          <c:order val="0"/>
          <c:tx>
            <c:strRef>
              <c:f>Sheet1!$A$2</c:f>
              <c:strCache>
                <c:ptCount val="1"/>
                <c:pt idx="0">
                  <c:v>2019年</c:v>
                </c:pt>
              </c:strCache>
            </c:strRef>
          </c:tx>
          <c:spPr>
            <a:solidFill>
              <a:srgbClr val="9999FF"/>
            </a:solidFill>
            <a:ln w="14846">
              <a:solidFill>
                <a:srgbClr val="000000"/>
              </a:solidFill>
              <a:prstDash val="solid"/>
            </a:ln>
          </c:spPr>
          <c:invertIfNegative val="0"/>
          <c:dLbls>
            <c:spPr>
              <a:noFill/>
              <a:ln>
                <a:noFill/>
              </a:ln>
              <a:effectLst/>
            </c:spPr>
            <c:txPr>
              <a:bodyPr rot="0" spcFirstLastPara="0" vertOverflow="ellipsis" vert="horz" wrap="square" lIns="38100" tIns="19050" rIns="38100" bIns="19050" anchor="ctr" anchorCtr="1"/>
              <a:lstStyle/>
              <a:p>
                <a:pPr>
                  <a:defRPr lang="zh-CN" sz="935"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Sheet1!$B$1:$C$1</c:f>
              <c:strCache>
                <c:ptCount val="2"/>
                <c:pt idx="0">
                  <c:v>财政拨款收入</c:v>
                </c:pt>
                <c:pt idx="1">
                  <c:v>财政拨款支出</c:v>
                </c:pt>
              </c:strCache>
            </c:strRef>
          </c:cat>
          <c:val>
            <c:numRef>
              <c:f>Sheet1!$B$2:$C$2</c:f>
              <c:numCache>
                <c:formatCode>General</c:formatCode>
                <c:ptCount val="2"/>
                <c:pt idx="0">
                  <c:v>32656.84</c:v>
                </c:pt>
                <c:pt idx="1">
                  <c:v>34726.14</c:v>
                </c:pt>
              </c:numCache>
            </c:numRef>
          </c:val>
        </c:ser>
        <c:ser>
          <c:idx val="1"/>
          <c:order val="1"/>
          <c:tx>
            <c:strRef>
              <c:f>Sheet1!$A$3</c:f>
              <c:strCache>
                <c:ptCount val="1"/>
                <c:pt idx="0">
                  <c:v>2020年</c:v>
                </c:pt>
              </c:strCache>
            </c:strRef>
          </c:tx>
          <c:spPr>
            <a:solidFill>
              <a:srgbClr val="993366"/>
            </a:solidFill>
            <a:ln w="14846">
              <a:solidFill>
                <a:srgbClr val="000000"/>
              </a:solidFill>
              <a:prstDash val="solid"/>
            </a:ln>
          </c:spPr>
          <c:invertIfNegative val="0"/>
          <c:dLbls>
            <c:spPr>
              <a:noFill/>
              <a:ln>
                <a:noFill/>
              </a:ln>
              <a:effectLst/>
            </c:spPr>
            <c:txPr>
              <a:bodyPr rot="0" spcFirstLastPara="0" vertOverflow="ellipsis" vert="horz" wrap="square" lIns="38100" tIns="19050" rIns="38100" bIns="19050" anchor="ctr" anchorCtr="1"/>
              <a:lstStyle/>
              <a:p>
                <a:pPr>
                  <a:defRPr lang="zh-CN" sz="935"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Sheet1!$B$1:$C$1</c:f>
              <c:strCache>
                <c:ptCount val="2"/>
                <c:pt idx="0">
                  <c:v>财政拨款收入</c:v>
                </c:pt>
                <c:pt idx="1">
                  <c:v>财政拨款支出</c:v>
                </c:pt>
              </c:strCache>
            </c:strRef>
          </c:cat>
          <c:val>
            <c:numRef>
              <c:f>Sheet1!$B$3:$C$3</c:f>
              <c:numCache>
                <c:formatCode>General</c:formatCode>
                <c:ptCount val="2"/>
                <c:pt idx="0">
                  <c:v>33118.18</c:v>
                </c:pt>
                <c:pt idx="1">
                  <c:v>32291.49</c:v>
                </c:pt>
              </c:numCache>
            </c:numRef>
          </c:val>
        </c:ser>
        <c:dLbls>
          <c:showLegendKey val="0"/>
          <c:showVal val="1"/>
          <c:showCatName val="0"/>
          <c:showSerName val="0"/>
          <c:showPercent val="0"/>
          <c:showBubbleSize val="0"/>
        </c:dLbls>
        <c:gapWidth val="150"/>
        <c:axId val="93934336"/>
        <c:axId val="93935872"/>
      </c:barChart>
      <c:catAx>
        <c:axId val="93934336"/>
        <c:scaling>
          <c:orientation val="minMax"/>
        </c:scaling>
        <c:delete val="0"/>
        <c:axPos val="b"/>
        <c:numFmt formatCode="General" sourceLinked="1"/>
        <c:majorTickMark val="in"/>
        <c:minorTickMark val="none"/>
        <c:tickLblPos val="low"/>
        <c:spPr>
          <a:ln w="3712" cap="flat" cmpd="sng" algn="ctr">
            <a:solidFill>
              <a:srgbClr val="000000"/>
            </a:solidFill>
            <a:prstDash val="solid"/>
            <a:round/>
          </a:ln>
        </c:spPr>
        <c:txPr>
          <a:bodyPr rot="0" spcFirstLastPara="0" vertOverflow="ellipsis" vert="horz" wrap="square" anchor="ctr" anchorCtr="1"/>
          <a:lstStyle/>
          <a:p>
            <a:pPr>
              <a:defRPr lang="zh-CN" sz="935"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crossAx val="93935872"/>
        <c:crosses val="autoZero"/>
        <c:auto val="1"/>
        <c:lblAlgn val="ctr"/>
        <c:lblOffset val="100"/>
        <c:tickLblSkip val="1"/>
        <c:noMultiLvlLbl val="0"/>
      </c:catAx>
      <c:valAx>
        <c:axId val="93935872"/>
        <c:scaling>
          <c:orientation val="minMax"/>
        </c:scaling>
        <c:delete val="0"/>
        <c:axPos val="l"/>
        <c:majorGridlines>
          <c:spPr>
            <a:ln w="3712" cap="flat" cmpd="sng" algn="ctr">
              <a:solidFill>
                <a:srgbClr val="000000"/>
              </a:solidFill>
              <a:prstDash val="solid"/>
              <a:round/>
            </a:ln>
          </c:spPr>
        </c:majorGridlines>
        <c:numFmt formatCode="General" sourceLinked="1"/>
        <c:majorTickMark val="in"/>
        <c:minorTickMark val="none"/>
        <c:tickLblPos val="nextTo"/>
        <c:spPr>
          <a:ln w="3712" cap="flat" cmpd="sng" algn="ctr">
            <a:solidFill>
              <a:srgbClr val="000000"/>
            </a:solidFill>
            <a:prstDash val="solid"/>
            <a:round/>
          </a:ln>
        </c:spPr>
        <c:txPr>
          <a:bodyPr rot="0" spcFirstLastPara="0" vertOverflow="ellipsis" vert="horz" wrap="square" anchor="ctr" anchorCtr="1"/>
          <a:lstStyle/>
          <a:p>
            <a:pPr>
              <a:defRPr lang="zh-CN" sz="935"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crossAx val="93934336"/>
        <c:crosses val="autoZero"/>
        <c:crossBetween val="between"/>
      </c:valAx>
      <c:spPr>
        <a:solidFill>
          <a:srgbClr val="C0C0C0"/>
        </a:solidFill>
        <a:ln w="12700">
          <a:solidFill>
            <a:srgbClr val="808080"/>
          </a:solidFill>
          <a:prstDash val="solid"/>
        </a:ln>
        <a:effectLst/>
      </c:spPr>
    </c:plotArea>
    <c:legend>
      <c:legendPos val="r"/>
      <c:layout>
        <c:manualLayout>
          <c:xMode val="edge"/>
          <c:yMode val="edge"/>
          <c:x val="0.8515625"/>
          <c:y val="0.3961038961039"/>
          <c:w val="0.138020833333333"/>
          <c:h val="0.214285714285714"/>
        </c:manualLayout>
      </c:layout>
      <c:overlay val="0"/>
      <c:spPr>
        <a:noFill/>
        <a:ln w="3712">
          <a:solidFill>
            <a:srgbClr val="000000"/>
          </a:solidFill>
          <a:prstDash val="solid"/>
        </a:ln>
      </c:spPr>
      <c:txPr>
        <a:bodyPr rot="0" spcFirstLastPara="0" vertOverflow="ellipsis" vert="horz" wrap="square" anchor="ctr" anchorCtr="1"/>
        <a:lstStyle/>
        <a:p>
          <a:pPr>
            <a:defRPr lang="zh-CN" sz="86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legend>
    <c:plotVisOnly val="1"/>
    <c:dispBlanksAs val="gap"/>
    <c:showDLblsOverMax val="0"/>
  </c:chart>
  <c:spPr>
    <a:noFill/>
    <a:ln w="9525" cap="flat" cmpd="sng" algn="ctr">
      <a:noFill/>
      <a:prstDash val="solid"/>
      <a:round/>
    </a:ln>
  </c:spPr>
  <c:txPr>
    <a:bodyPr/>
    <a:lstStyle/>
    <a:p>
      <a:pPr>
        <a:defRPr lang="zh-CN" sz="935" b="0" i="0" u="none" strike="noStrike" baseline="0">
          <a:solidFill>
            <a:srgbClr val="000000"/>
          </a:solidFill>
          <a:latin typeface="宋体" panose="02010600030101010101" charset="-122"/>
          <a:ea typeface="宋体" panose="02010600030101010101" charset="-122"/>
          <a:cs typeface="宋体" panose="02010600030101010101" charset="-122"/>
        </a:defRPr>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981735159817352"/>
          <c:y val="0.0652173913043478"/>
          <c:w val="0.525114155251142"/>
          <c:h val="0.710144927536232"/>
        </c:manualLayout>
      </c:layout>
      <c:barChart>
        <c:barDir val="col"/>
        <c:grouping val="stacked"/>
        <c:varyColors val="0"/>
        <c:ser>
          <c:idx val="0"/>
          <c:order val="0"/>
          <c:tx>
            <c:strRef>
              <c:f>Sheet1!$A$2</c:f>
              <c:strCache>
                <c:ptCount val="1"/>
                <c:pt idx="0">
                  <c:v>一般公共预算财政拨款支出</c:v>
                </c:pt>
              </c:strCache>
            </c:strRef>
          </c:tx>
          <c:spPr>
            <a:solidFill>
              <a:srgbClr val="9999FF"/>
            </a:solidFill>
            <a:ln w="14985">
              <a:solidFill>
                <a:srgbClr val="000000"/>
              </a:solidFill>
              <a:prstDash val="solid"/>
            </a:ln>
          </c:spPr>
          <c:invertIfNegative val="0"/>
          <c:dLbls>
            <c:dLbl>
              <c:idx val="0"/>
              <c:layout>
                <c:manualLayout>
                  <c:x val="0.018018018018018"/>
                  <c:y val="-0.288288288288289"/>
                </c:manualLayout>
              </c:layout>
              <c:dLblPos val="ct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24024024024024"/>
                  <c:y val="-0.331532099028163"/>
                </c:manualLayout>
              </c:layout>
              <c:dLblPos val="ct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45"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Sheet1!$B$1:$C$1</c:f>
              <c:strCache>
                <c:ptCount val="2"/>
                <c:pt idx="0">
                  <c:v>2019年</c:v>
                </c:pt>
                <c:pt idx="1">
                  <c:v>2020年</c:v>
                </c:pt>
              </c:strCache>
            </c:strRef>
          </c:cat>
          <c:val>
            <c:numRef>
              <c:f>Sheet1!$B$2:$C$2</c:f>
              <c:numCache>
                <c:formatCode>General</c:formatCode>
                <c:ptCount val="2"/>
                <c:pt idx="0">
                  <c:v>34529.26</c:v>
                </c:pt>
                <c:pt idx="1">
                  <c:v>32282.51</c:v>
                </c:pt>
              </c:numCache>
            </c:numRef>
          </c:val>
        </c:ser>
        <c:dLbls>
          <c:showLegendKey val="0"/>
          <c:showVal val="1"/>
          <c:showCatName val="0"/>
          <c:showSerName val="0"/>
          <c:showPercent val="0"/>
          <c:showBubbleSize val="0"/>
        </c:dLbls>
        <c:gapWidth val="150"/>
        <c:overlap val="100"/>
        <c:axId val="167868672"/>
        <c:axId val="167874560"/>
      </c:barChart>
      <c:catAx>
        <c:axId val="167868672"/>
        <c:scaling>
          <c:orientation val="minMax"/>
        </c:scaling>
        <c:delete val="0"/>
        <c:axPos val="b"/>
        <c:numFmt formatCode="General" sourceLinked="1"/>
        <c:majorTickMark val="in"/>
        <c:minorTickMark val="none"/>
        <c:tickLblPos val="low"/>
        <c:spPr>
          <a:ln w="3746" cap="flat" cmpd="sng" algn="ctr">
            <a:solidFill>
              <a:srgbClr val="000000"/>
            </a:solidFill>
            <a:prstDash val="solid"/>
            <a:round/>
          </a:ln>
        </c:spPr>
        <c:txPr>
          <a:bodyPr rot="0" spcFirstLastPara="0" vertOverflow="ellipsis" vert="horz" wrap="square" anchor="ctr" anchorCtr="1"/>
          <a:lstStyle/>
          <a:p>
            <a:pPr>
              <a:defRPr lang="zh-CN" sz="945"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crossAx val="167874560"/>
        <c:crosses val="autoZero"/>
        <c:auto val="0"/>
        <c:lblAlgn val="ctr"/>
        <c:lblOffset val="100"/>
        <c:tickLblSkip val="1"/>
        <c:noMultiLvlLbl val="0"/>
      </c:catAx>
      <c:valAx>
        <c:axId val="167874560"/>
        <c:scaling>
          <c:orientation val="minMax"/>
        </c:scaling>
        <c:delete val="0"/>
        <c:axPos val="l"/>
        <c:majorGridlines>
          <c:spPr>
            <a:ln w="3746" cap="flat" cmpd="sng" algn="ctr">
              <a:solidFill>
                <a:srgbClr val="000000"/>
              </a:solidFill>
              <a:prstDash val="solid"/>
              <a:round/>
            </a:ln>
          </c:spPr>
        </c:majorGridlines>
        <c:numFmt formatCode="General" sourceLinked="1"/>
        <c:majorTickMark val="in"/>
        <c:minorTickMark val="none"/>
        <c:tickLblPos val="nextTo"/>
        <c:spPr>
          <a:ln w="3746" cap="flat" cmpd="sng" algn="ctr">
            <a:solidFill>
              <a:srgbClr val="000000"/>
            </a:solidFill>
            <a:prstDash val="solid"/>
            <a:round/>
          </a:ln>
        </c:spPr>
        <c:txPr>
          <a:bodyPr rot="0" spcFirstLastPara="0" vertOverflow="ellipsis" vert="horz" wrap="square" anchor="ctr" anchorCtr="1"/>
          <a:lstStyle/>
          <a:p>
            <a:pPr>
              <a:defRPr lang="zh-CN" sz="945"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crossAx val="167868672"/>
        <c:crosses val="autoZero"/>
        <c:crossBetween val="between"/>
        <c:majorUnit val="500"/>
      </c:valAx>
      <c:spPr>
        <a:solidFill>
          <a:srgbClr val="C0C0C0"/>
        </a:solidFill>
        <a:ln w="12700">
          <a:solidFill>
            <a:srgbClr val="808080"/>
          </a:solidFill>
          <a:prstDash val="solid"/>
        </a:ln>
        <a:effectLst/>
      </c:spPr>
    </c:plotArea>
    <c:legend>
      <c:legendPos val="r"/>
      <c:layout>
        <c:manualLayout>
          <c:xMode val="edge"/>
          <c:yMode val="edge"/>
          <c:x val="0.648401826484032"/>
          <c:y val="0.442028985507254"/>
          <c:w val="0.327846823201158"/>
          <c:h val="0.166965453642619"/>
        </c:manualLayout>
      </c:layout>
      <c:overlay val="0"/>
      <c:spPr>
        <a:noFill/>
        <a:ln w="3746">
          <a:solidFill>
            <a:srgbClr val="000000"/>
          </a:solidFill>
          <a:prstDash val="solid"/>
        </a:ln>
      </c:spPr>
      <c:txPr>
        <a:bodyPr rot="0" spcFirstLastPara="0" vertOverflow="ellipsis" vert="horz" wrap="square" anchor="ctr" anchorCtr="1"/>
        <a:lstStyle/>
        <a:p>
          <a:pPr>
            <a:defRPr lang="zh-CN" sz="865"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legend>
    <c:plotVisOnly val="1"/>
    <c:dispBlanksAs val="gap"/>
    <c:showDLblsOverMax val="0"/>
  </c:chart>
  <c:spPr>
    <a:noFill/>
    <a:ln w="9525" cap="flat" cmpd="sng" algn="ctr">
      <a:noFill/>
      <a:prstDash val="solid"/>
      <a:round/>
    </a:ln>
  </c:spPr>
  <c:txPr>
    <a:bodyPr/>
    <a:lstStyle/>
    <a:p>
      <a:pPr>
        <a:defRPr lang="zh-CN" sz="945" b="0" i="0" u="none" strike="noStrike" baseline="0">
          <a:solidFill>
            <a:srgbClr val="000000"/>
          </a:solidFill>
          <a:latin typeface="宋体" panose="02010600030101010101" charset="-122"/>
          <a:ea typeface="宋体" panose="02010600030101010101" charset="-122"/>
          <a:cs typeface="宋体" panose="02010600030101010101" charset="-122"/>
        </a:defRPr>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p>
      </c:txPr>
    </c:title>
    <c:autoTitleDeleted val="0"/>
    <c:plotArea>
      <c:layout/>
      <c:pieChart>
        <c:varyColors val="1"/>
        <c:ser>
          <c:idx val="0"/>
          <c:order val="0"/>
          <c:tx>
            <c:strRef>
              <c:f>Sheet1!$B$1</c:f>
              <c:strCache>
                <c:ptCount val="1"/>
                <c:pt idx="0">
                  <c:v>一般公共预算财政拨款支出决算结构情况</c:v>
                </c:pt>
              </c:strCache>
            </c:strRef>
          </c:tx>
          <c:explosion val="0"/>
          <c:dPt>
            <c:idx val="0"/>
            <c:bubble3D val="0"/>
          </c:dPt>
          <c:dPt>
            <c:idx val="1"/>
            <c:bubble3D val="0"/>
          </c:dPt>
          <c:dPt>
            <c:idx val="2"/>
            <c:bubble3D val="0"/>
          </c:dPt>
          <c:dPt>
            <c:idx val="3"/>
            <c:bubble3D val="0"/>
          </c:dPt>
          <c:dPt>
            <c:idx val="4"/>
            <c:bubble3D val="0"/>
          </c:dPt>
          <c:dPt>
            <c:idx val="5"/>
            <c:bubble3D val="0"/>
          </c:dPt>
          <c:dLbls>
            <c:dLbl>
              <c:idx val="0"/>
              <c:layout>
                <c:manualLayout>
                  <c:x val="0.0542441570556149"/>
                  <c:y val="-0.0393941314611216"/>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378102538531107"/>
                  <c:y val="0.014124472830989"/>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637196145088175"/>
                  <c:y val="-0.000534035412756068"/>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0924563592204478"/>
                  <c:y val="0.000771962328238389"/>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0.000232826663582535"/>
                  <c:y val="-0.0643381032479299"/>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ext>
            </c:extLst>
          </c:dLbls>
          <c:cat>
            <c:strRef>
              <c:f>Sheet1!$A$2:$A$7</c:f>
              <c:strCache>
                <c:ptCount val="6"/>
                <c:pt idx="0">
                  <c:v>社会保障和就业支出</c:v>
                </c:pt>
                <c:pt idx="1">
                  <c:v>卫生健康支出</c:v>
                </c:pt>
                <c:pt idx="2">
                  <c:v>节能环保支出</c:v>
                </c:pt>
                <c:pt idx="3">
                  <c:v>城乡社区支出</c:v>
                </c:pt>
                <c:pt idx="4">
                  <c:v>住房保障支出</c:v>
                </c:pt>
                <c:pt idx="5">
                  <c:v>灾害防治及应急管理支出</c:v>
                </c:pt>
              </c:strCache>
            </c:strRef>
          </c:cat>
          <c:val>
            <c:numRef>
              <c:f>Sheet1!$B$2:$B$7</c:f>
              <c:numCache>
                <c:formatCode>General</c:formatCode>
                <c:ptCount val="6"/>
                <c:pt idx="0">
                  <c:v>1558.71</c:v>
                </c:pt>
                <c:pt idx="1">
                  <c:v>353.97</c:v>
                </c:pt>
                <c:pt idx="2">
                  <c:v>637.18</c:v>
                </c:pt>
                <c:pt idx="3">
                  <c:v>28512.59</c:v>
                </c:pt>
                <c:pt idx="4">
                  <c:v>1080.25</c:v>
                </c:pt>
                <c:pt idx="5">
                  <c:v>139.8</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85526315789475"/>
          <c:y val="0.0748299319727891"/>
          <c:w val="0.333333333333333"/>
          <c:h val="0.884353741496599"/>
        </c:manualLayout>
      </c:layout>
      <c:pieChart>
        <c:varyColors val="1"/>
        <c:ser>
          <c:idx val="0"/>
          <c:order val="0"/>
          <c:tx>
            <c:strRef>
              <c:f>Sheet1!$A$2</c:f>
              <c:strCache>
                <c:ptCount val="1"/>
                <c:pt idx="0">
                  <c:v>三公经费</c:v>
                </c:pt>
              </c:strCache>
            </c:strRef>
          </c:tx>
          <c:spPr>
            <a:solidFill>
              <a:srgbClr val="9999FF"/>
            </a:solidFill>
            <a:ln w="16648">
              <a:solidFill>
                <a:srgbClr val="000000"/>
              </a:solidFill>
              <a:prstDash val="solid"/>
            </a:ln>
          </c:spPr>
          <c:explosion val="0"/>
          <c:dPt>
            <c:idx val="0"/>
            <c:bubble3D val="0"/>
            <c:spPr>
              <a:solidFill>
                <a:srgbClr val="9999FF"/>
              </a:solidFill>
              <a:ln w="16648">
                <a:solidFill>
                  <a:srgbClr val="000000"/>
                </a:solidFill>
                <a:prstDash val="solid"/>
              </a:ln>
            </c:spPr>
          </c:dPt>
          <c:dPt>
            <c:idx val="1"/>
            <c:bubble3D val="0"/>
            <c:spPr>
              <a:solidFill>
                <a:srgbClr val="993366"/>
              </a:solidFill>
              <a:ln w="16648">
                <a:solidFill>
                  <a:srgbClr val="000000"/>
                </a:solidFill>
                <a:prstDash val="solid"/>
              </a:ln>
            </c:spPr>
          </c:dPt>
          <c:dPt>
            <c:idx val="2"/>
            <c:bubble3D val="0"/>
            <c:spPr>
              <a:solidFill>
                <a:srgbClr val="FFFFCC"/>
              </a:solidFill>
              <a:ln w="16648">
                <a:solidFill>
                  <a:srgbClr val="000000"/>
                </a:solidFill>
                <a:prstDash val="solid"/>
              </a:ln>
            </c:spPr>
          </c:dPt>
          <c:dLbls>
            <c:dLbl>
              <c:idx val="0"/>
              <c:layout>
                <c:manualLayout>
                  <c:x val="0.0690232594280978"/>
                  <c:y val="-0.0146933419036906"/>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w="33296">
                <a:noFill/>
              </a:ln>
              <a:effectLst/>
            </c:spPr>
            <c:txPr>
              <a:bodyPr rot="0" spcFirstLastPara="0" vertOverflow="ellipsis" vert="horz" wrap="square" lIns="38100" tIns="19050" rIns="38100" bIns="19050" anchor="ctr" anchorCtr="1"/>
              <a:lstStyle/>
              <a:p>
                <a:pPr>
                  <a:defRPr lang="zh-CN" sz="108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ext>
            </c:extLst>
          </c:dLbls>
          <c:cat>
            <c:strRef>
              <c:f>Sheet1!$B$1:$D$1</c:f>
              <c:strCache>
                <c:ptCount val="3"/>
                <c:pt idx="0">
                  <c:v>因公出国(境)费</c:v>
                </c:pt>
                <c:pt idx="1">
                  <c:v>公务用车购置及运行维护费</c:v>
                </c:pt>
                <c:pt idx="2">
                  <c:v>公务接待费</c:v>
                </c:pt>
              </c:strCache>
            </c:strRef>
          </c:cat>
          <c:val>
            <c:numRef>
              <c:f>Sheet1!$B$2:$D$2</c:f>
              <c:numCache>
                <c:formatCode>General</c:formatCode>
                <c:ptCount val="3"/>
                <c:pt idx="0">
                  <c:v>0</c:v>
                </c:pt>
                <c:pt idx="1">
                  <c:v>128.65</c:v>
                </c:pt>
                <c:pt idx="2">
                  <c:v>1.07</c:v>
                </c:pt>
              </c:numCache>
            </c:numRef>
          </c:val>
        </c:ser>
        <c:dLbls>
          <c:showLegendKey val="0"/>
          <c:showVal val="1"/>
          <c:showCatName val="0"/>
          <c:showSerName val="0"/>
          <c:showPercent val="0"/>
          <c:showBubbleSize val="0"/>
          <c:showLeaderLines val="1"/>
        </c:dLbls>
        <c:firstSliceAng val="0"/>
      </c:pieChart>
      <c:spPr>
        <a:solidFill>
          <a:srgbClr val="C0C0C0"/>
        </a:solidFill>
        <a:ln w="16648">
          <a:solidFill>
            <a:srgbClr val="808080"/>
          </a:solidFill>
          <a:prstDash val="solid"/>
        </a:ln>
      </c:spPr>
    </c:plotArea>
    <c:legend>
      <c:legendPos val="r"/>
      <c:layout>
        <c:manualLayout>
          <c:xMode val="edge"/>
          <c:yMode val="edge"/>
          <c:x val="0.679166666666667"/>
          <c:y val="0.357142857142863"/>
          <c:w val="0.312500000000003"/>
          <c:h val="0.291666666666671"/>
        </c:manualLayout>
      </c:layout>
      <c:overlay val="0"/>
      <c:spPr>
        <a:noFill/>
        <a:ln w="4162">
          <a:solidFill>
            <a:srgbClr val="000000"/>
          </a:solidFill>
          <a:prstDash val="solid"/>
        </a:ln>
      </c:spPr>
      <c:txPr>
        <a:bodyPr rot="0" spcFirstLastPara="0" vertOverflow="ellipsis" vert="horz" wrap="square" anchor="ctr" anchorCtr="1"/>
        <a:lstStyle/>
        <a:p>
          <a:pPr>
            <a:defRPr lang="zh-CN" sz="99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legend>
    <c:plotVisOnly val="1"/>
    <c:dispBlanksAs val="zero"/>
    <c:showDLblsOverMax val="0"/>
  </c:chart>
  <c:spPr>
    <a:noFill/>
    <a:ln w="9525" cap="flat" cmpd="sng" algn="ctr">
      <a:noFill/>
      <a:prstDash val="solid"/>
      <a:round/>
    </a:ln>
  </c:spPr>
  <c:txPr>
    <a:bodyPr/>
    <a:lstStyle/>
    <a:p>
      <a:pPr>
        <a:defRPr lang="zh-CN" sz="1080" b="0" i="0" u="none" strike="noStrike" baseline="0">
          <a:solidFill>
            <a:srgbClr val="000000"/>
          </a:solidFill>
          <a:latin typeface="宋体" panose="02010600030101010101" charset="-122"/>
          <a:ea typeface="宋体" panose="02010600030101010101" charset="-122"/>
          <a:cs typeface="宋体" panose="02010600030101010101" charset="-122"/>
        </a:defRPr>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C514C-7761-4516-91AE-28B9D6E937F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40</Pages>
  <Words>16727</Words>
  <Characters>18391</Characters>
  <Lines>136</Lines>
  <Paragraphs>38</Paragraphs>
  <TotalTime>4075</TotalTime>
  <ScaleCrop>false</ScaleCrop>
  <LinksUpToDate>false</LinksUpToDate>
  <CharactersWithSpaces>18473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2020-09-07T03:32:00Z</dcterms:created>
  <dc:creator>admin</dc:creator>
  <cp:lastModifiedBy>1</cp:lastModifiedBy>
  <cp:lastPrinted>2021-09-27T09:49:00Z</cp:lastPrinted>
  <dcterms:modified xsi:type="dcterms:W3CDTF">2022-06-06T10:53:04Z</dcterms:modified>
  <cp:revision>304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E1069D82B5684841A8A7CB55345B8FEC</vt:lpwstr>
  </property>
</Properties>
</file>