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CESI小标宋-GB2312" w:hAnsi="CESI小标宋-GB2312" w:eastAsia="CESI小标宋-GB2312" w:cs="CESI小标宋-GB2312"/>
          <w:b w:val="0"/>
          <w:bCs w:val="0"/>
          <w:sz w:val="44"/>
          <w:szCs w:val="44"/>
          <w:lang w:eastAsia="zh-CN"/>
        </w:rPr>
      </w:pPr>
      <w:r>
        <w:rPr>
          <w:rFonts w:hint="eastAsia" w:ascii="CESI小标宋-GB2312" w:hAnsi="CESI小标宋-GB2312" w:eastAsia="CESI小标宋-GB2312" w:cs="CESI小标宋-GB2312"/>
          <w:b w:val="0"/>
          <w:bCs w:val="0"/>
          <w:sz w:val="44"/>
          <w:szCs w:val="44"/>
          <w:lang w:eastAsia="zh-CN"/>
        </w:rPr>
        <w:t>德阳市市政工程维护管理处</w:t>
      </w:r>
    </w:p>
    <w:p>
      <w:pPr>
        <w:pStyle w:val="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jc w:val="center"/>
        <w:textAlignment w:val="auto"/>
        <w:rPr>
          <w:rFonts w:hint="eastAsia" w:ascii="CESI小标宋-GB2312" w:hAnsi="CESI小标宋-GB2312" w:eastAsia="CESI小标宋-GB2312" w:cs="CESI小标宋-GB2312"/>
          <w:b/>
          <w:bCs/>
          <w:sz w:val="44"/>
          <w:szCs w:val="44"/>
          <w:lang w:eastAsia="zh-CN"/>
        </w:rPr>
      </w:pPr>
      <w:r>
        <w:rPr>
          <w:rFonts w:hint="eastAsia" w:ascii="CESI小标宋-GB2312" w:hAnsi="CESI小标宋-GB2312" w:eastAsia="CESI小标宋-GB2312" w:cs="CESI小标宋-GB2312"/>
          <w:b w:val="0"/>
          <w:bCs w:val="0"/>
          <w:sz w:val="44"/>
          <w:szCs w:val="44"/>
          <w:lang w:eastAsia="zh-CN"/>
        </w:rPr>
        <w:t>德阳市</w:t>
      </w:r>
      <w:r>
        <w:rPr>
          <w:rFonts w:hint="eastAsia" w:ascii="CESI小标宋-GB2312" w:hAnsi="CESI小标宋-GB2312" w:eastAsia="CESI小标宋-GB2312" w:cs="CESI小标宋-GB2312"/>
          <w:b w:val="0"/>
          <w:bCs w:val="0"/>
          <w:sz w:val="44"/>
          <w:szCs w:val="44"/>
          <w:lang w:val="en-US" w:eastAsia="zh-CN"/>
        </w:rPr>
        <w:t>11条道路维修工程比选</w:t>
      </w:r>
      <w:r>
        <w:rPr>
          <w:rFonts w:hint="eastAsia" w:ascii="CESI小标宋-GB2312" w:hAnsi="CESI小标宋-GB2312" w:eastAsia="CESI小标宋-GB2312" w:cs="CESI小标宋-GB2312"/>
          <w:b w:val="0"/>
          <w:bCs w:val="0"/>
          <w:sz w:val="44"/>
          <w:szCs w:val="44"/>
          <w:lang w:eastAsia="zh-CN"/>
        </w:rPr>
        <w:t>公告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eastAsia="zh-CN"/>
        </w:rPr>
        <w:t>一、概况</w:t>
      </w:r>
    </w:p>
    <w:p>
      <w:pPr>
        <w:spacing w:line="36" w:lineRule="auto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为保证市政设施的安全运行，提高市政设施养护水平，加强施工技术管理。我处将对漓江路大桥、牡丹江路（泰山路北段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-蓥华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山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北路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）、太行山路北段（牡丹江路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）、苗山街北段（牡丹江路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）、秀山街北段（牡丹江路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）、秀山街（青衣江路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-扬程渠路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）、蓥华山北路（青衣江路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-钱塘江路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）、黄浦江西路（泰山路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-蓥华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山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）、沱江西路（五台山路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-华山路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9条道路进行维修。施工内容包括部分人行道、车行道路面拆除，重新铺装人行道、车行道路面，路沿石的拆除及安装，更换部分井座、井盖，补画标识、标线等内容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eastAsia="zh-CN"/>
        </w:rPr>
        <w:t>二、资格要求</w:t>
      </w:r>
    </w:p>
    <w:p>
      <w:pPr>
        <w:numPr>
          <w:ilvl w:val="0"/>
          <w:numId w:val="0"/>
        </w:numPr>
        <w:spacing w:line="24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1.在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000000"/>
          <w:sz w:val="32"/>
          <w:szCs w:val="32"/>
          <w:lang w:val="en-US" w:eastAsia="zh-CN"/>
        </w:rPr>
        <w:t>德阳市工商行政管理部门注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册的企业。</w:t>
      </w:r>
    </w:p>
    <w:p>
      <w:pPr>
        <w:numPr>
          <w:ilvl w:val="0"/>
          <w:numId w:val="0"/>
        </w:numPr>
        <w:spacing w:line="24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2.市政公用工程总承包三级及以上资质。</w:t>
      </w:r>
    </w:p>
    <w:p>
      <w:pPr>
        <w:numPr>
          <w:ilvl w:val="0"/>
          <w:numId w:val="0"/>
        </w:numPr>
        <w:spacing w:line="24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3.项目负责人必须为本单位注册的建造师二级及以上（市政专业并且安全生产考核合格证B类）。</w:t>
      </w:r>
    </w:p>
    <w:p>
      <w:pPr>
        <w:numPr>
          <w:ilvl w:val="0"/>
          <w:numId w:val="0"/>
        </w:numPr>
        <w:spacing w:line="24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4.在德阳市区具备固定办公场所，有相应的市政工程施工机具设备。</w:t>
      </w:r>
    </w:p>
    <w:p>
      <w:pPr>
        <w:numPr>
          <w:ilvl w:val="0"/>
          <w:numId w:val="0"/>
        </w:numPr>
        <w:ind w:left="640" w:leftChars="0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5.未被人民法院在“信用中国”网站（www.creditchina.gov.cn）列入失信被执行人名单。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6.不接受联合体参与申请。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三、比选方式及金额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1、比选方式：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每条道路按抽取的方式确定一家施工企业对道路进行维修。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2、金额：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2.1、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漓江路大桥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8.8万元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2.2、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牡丹江路（泰山路北段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-蓥华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山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北路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68.37万元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2.3、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太行山路北段（牡丹江路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72.73万元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2.4、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苗山街北段（牡丹江路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24.01万元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2.5、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秀山街北段（牡丹江路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-澜沧江路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58.90万元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2.6、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秀山街（青衣江路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-扬程渠路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11.72万元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2.7、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蓥华山北路（青衣江路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-钱塘江路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18.74万元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2.8、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黄浦江西路（泰山路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-蓥华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山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34.91万元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2.9、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沱江西路（五台山路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-华山路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19.04万元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最终结算按财评单价下浮6%计算。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四、资格审查</w:t>
      </w:r>
    </w:p>
    <w:p>
      <w:pPr>
        <w:numPr>
          <w:ilvl w:val="0"/>
          <w:numId w:val="0"/>
        </w:numPr>
        <w:spacing w:line="480" w:lineRule="auto"/>
        <w:ind w:left="319" w:leftChars="152"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>1.有效的法定代表人授权书原件（法定代表人及被授权人身份证复印件加盖公章，被授权人身份证原件查验）；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     2.经年检合格的营业执照副本；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     3.企业资质证书副本（市政工程三级以上资质）;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     4.企业安全生产许可证;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     以上资料均需现场查看原件并留存复印件加盖公章。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五、比选申请文件的递交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1.截止时间：2022年3月18日前（北京时间上午9：00时）。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2.比选申请文件地址：德阳市市政工程维护管理处会议室。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CESI仿宋-GB2312" w:hAnsi="CESI仿宋-GB2312" w:eastAsia="CESI仿宋-GB2312" w:cs="CESI仿宋-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逾期送达的或者未送达指定地点的</w:t>
      </w:r>
      <w:r>
        <w:rPr>
          <w:rFonts w:hint="eastAsia" w:ascii="CESI仿宋-GB2312" w:hAnsi="CESI仿宋-GB2312" w:eastAsia="CESI仿宋-GB2312" w:cs="CESI仿宋-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CESI仿宋-GB2312" w:hAnsi="CESI仿宋-GB2312" w:eastAsia="CESI仿宋-GB2312" w:cs="CESI仿宋-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文件,</w:t>
      </w:r>
      <w:r>
        <w:rPr>
          <w:rFonts w:hint="eastAsia" w:ascii="CESI仿宋-GB2312" w:hAnsi="CESI仿宋-GB2312" w:eastAsia="CESI仿宋-GB2312" w:cs="CESI仿宋-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CESI仿宋-GB2312" w:hAnsi="CESI仿宋-GB2312" w:eastAsia="CESI仿宋-GB2312" w:cs="CESI仿宋-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人不予受理。</w:t>
      </w:r>
    </w:p>
    <w:p>
      <w:pPr>
        <w:numPr>
          <w:ilvl w:val="0"/>
          <w:numId w:val="0"/>
        </w:numPr>
        <w:spacing w:line="480" w:lineRule="auto"/>
        <w:ind w:left="630" w:leftChars="0"/>
        <w:jc w:val="both"/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黑体-GB13000" w:hAnsi="CESI黑体-GB13000" w:eastAsia="CESI黑体-GB13000" w:cs="CESI黑体-GB13000"/>
          <w:b w:val="0"/>
          <w:bCs w:val="0"/>
          <w:sz w:val="32"/>
          <w:szCs w:val="32"/>
          <w:lang w:val="en-US" w:eastAsia="zh-CN"/>
        </w:rPr>
        <w:t>六、联系方式：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项目业主：德阳市市政工程维护管理处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地    址：德阳市镇江街3号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邮    编：618000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联 系 人：曹老师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联系电话：0838-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2232365</w:t>
      </w:r>
    </w:p>
    <w:p>
      <w:pPr>
        <w:numPr>
          <w:ilvl w:val="0"/>
          <w:numId w:val="0"/>
        </w:numPr>
        <w:spacing w:line="480" w:lineRule="auto"/>
        <w:ind w:leftChars="200"/>
        <w:jc w:val="both"/>
        <w:rPr>
          <w:rFonts w:hint="eastAsia" w:ascii="CESI仿宋-GB2312" w:hAnsi="CESI仿宋-GB2312" w:eastAsia="CESI仿宋-GB2312" w:cs="CESI仿宋-GB2312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  <w:lang w:val="en-US" w:eastAsia="zh-CN"/>
        </w:rPr>
        <w:t xml:space="preserve"> 传真电话：0838-2231827</w:t>
      </w:r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幼圆">
    <w:altName w:val="黑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CESI小标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576F2"/>
    <w:rsid w:val="00A11233"/>
    <w:rsid w:val="00DB3EC5"/>
    <w:rsid w:val="01CF43B4"/>
    <w:rsid w:val="022843B2"/>
    <w:rsid w:val="03AB26E4"/>
    <w:rsid w:val="03C70711"/>
    <w:rsid w:val="07DD42EE"/>
    <w:rsid w:val="07FD47B8"/>
    <w:rsid w:val="0811230F"/>
    <w:rsid w:val="092322BE"/>
    <w:rsid w:val="093C558F"/>
    <w:rsid w:val="0C3F6DE9"/>
    <w:rsid w:val="0DA770AD"/>
    <w:rsid w:val="0E2E7B24"/>
    <w:rsid w:val="0E84116F"/>
    <w:rsid w:val="10B4312E"/>
    <w:rsid w:val="115455AE"/>
    <w:rsid w:val="115E3C25"/>
    <w:rsid w:val="12C14EC5"/>
    <w:rsid w:val="13E275FB"/>
    <w:rsid w:val="163B0182"/>
    <w:rsid w:val="16453F7A"/>
    <w:rsid w:val="176B56CA"/>
    <w:rsid w:val="17B477CD"/>
    <w:rsid w:val="17D04347"/>
    <w:rsid w:val="1A2C13BF"/>
    <w:rsid w:val="1ACB0990"/>
    <w:rsid w:val="1D1C26DF"/>
    <w:rsid w:val="1E615FF4"/>
    <w:rsid w:val="22A8346C"/>
    <w:rsid w:val="23DB214F"/>
    <w:rsid w:val="265634DF"/>
    <w:rsid w:val="274B46BE"/>
    <w:rsid w:val="285A6CEA"/>
    <w:rsid w:val="28C055AB"/>
    <w:rsid w:val="2A8567AE"/>
    <w:rsid w:val="2ABA427C"/>
    <w:rsid w:val="2AF45D26"/>
    <w:rsid w:val="2BA5606C"/>
    <w:rsid w:val="2CF82D18"/>
    <w:rsid w:val="2D534341"/>
    <w:rsid w:val="2E490B59"/>
    <w:rsid w:val="323D69DD"/>
    <w:rsid w:val="33AD6DAD"/>
    <w:rsid w:val="37067E81"/>
    <w:rsid w:val="390E4E8D"/>
    <w:rsid w:val="392077EB"/>
    <w:rsid w:val="39B73877"/>
    <w:rsid w:val="3A1478AA"/>
    <w:rsid w:val="3BB07EA9"/>
    <w:rsid w:val="3C1673B3"/>
    <w:rsid w:val="3E984D70"/>
    <w:rsid w:val="418470C8"/>
    <w:rsid w:val="44E84D9B"/>
    <w:rsid w:val="46AB4A83"/>
    <w:rsid w:val="48D46C09"/>
    <w:rsid w:val="4917368C"/>
    <w:rsid w:val="494A344A"/>
    <w:rsid w:val="4A266DE0"/>
    <w:rsid w:val="4C1E2D9C"/>
    <w:rsid w:val="4C8A7685"/>
    <w:rsid w:val="4EC025C6"/>
    <w:rsid w:val="50B141CC"/>
    <w:rsid w:val="51387D1A"/>
    <w:rsid w:val="524424F9"/>
    <w:rsid w:val="530E5525"/>
    <w:rsid w:val="57D576F2"/>
    <w:rsid w:val="58E94537"/>
    <w:rsid w:val="59D551AB"/>
    <w:rsid w:val="5B4A3E04"/>
    <w:rsid w:val="5DE64CEC"/>
    <w:rsid w:val="603230EA"/>
    <w:rsid w:val="60955422"/>
    <w:rsid w:val="620A21B1"/>
    <w:rsid w:val="631453D9"/>
    <w:rsid w:val="63B81C1C"/>
    <w:rsid w:val="64AC465A"/>
    <w:rsid w:val="659430DF"/>
    <w:rsid w:val="65AE6911"/>
    <w:rsid w:val="66DB7C9D"/>
    <w:rsid w:val="67097A34"/>
    <w:rsid w:val="674E56FE"/>
    <w:rsid w:val="6D535020"/>
    <w:rsid w:val="6E902790"/>
    <w:rsid w:val="70AF319C"/>
    <w:rsid w:val="71CA2A3B"/>
    <w:rsid w:val="71DC7ACA"/>
    <w:rsid w:val="74576A0F"/>
    <w:rsid w:val="78091108"/>
    <w:rsid w:val="782A3DBC"/>
    <w:rsid w:val="7BAB712A"/>
    <w:rsid w:val="7D007B45"/>
    <w:rsid w:val="F7EC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outlineLvl w:val="0"/>
    </w:pPr>
    <w:rPr>
      <w:rFonts w:ascii="楷体_GB2312" w:eastAsia="楷体_GB2312"/>
      <w:sz w:val="28"/>
      <w:szCs w:val="20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幼圆"/>
      <w:b/>
      <w:sz w:val="44"/>
      <w:szCs w:val="20"/>
    </w:rPr>
  </w:style>
  <w:style w:type="paragraph" w:styleId="4">
    <w:name w:val="heading 3"/>
    <w:basedOn w:val="1"/>
    <w:next w:val="1"/>
    <w:qFormat/>
    <w:uiPriority w:val="9"/>
    <w:pPr>
      <w:keepNext/>
      <w:keepLines/>
      <w:spacing w:line="360" w:lineRule="auto"/>
      <w:outlineLvl w:val="2"/>
    </w:pPr>
    <w:rPr>
      <w:rFonts w:eastAsia="宋体"/>
      <w:b/>
      <w:bCs/>
      <w:kern w:val="2"/>
      <w:sz w:val="24"/>
      <w:szCs w:val="32"/>
      <w:lang w:val="en-US" w:eastAsia="zh-CN" w:bidi="ar-SA"/>
    </w:rPr>
  </w:style>
  <w:style w:type="paragraph" w:styleId="5">
    <w:name w:val="heading 4"/>
    <w:basedOn w:val="1"/>
    <w:next w:val="1"/>
    <w:qFormat/>
    <w:uiPriority w:val="9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sz w:val="24"/>
      <w:szCs w:val="24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</w:rPr>
  </w:style>
  <w:style w:type="paragraph" w:customStyle="1" w:styleId="13">
    <w:name w:val="样式 样式 首行缩进:  2 字符 + 首行缩进:  2 字符"/>
    <w:basedOn w:val="1"/>
    <w:qFormat/>
    <w:uiPriority w:val="0"/>
    <w:pPr>
      <w:ind w:firstLine="480" w:firstLineChars="200"/>
    </w:pPr>
    <w:rPr>
      <w:rFonts w:cs="宋体"/>
    </w:rPr>
  </w:style>
  <w:style w:type="paragraph" w:customStyle="1" w:styleId="14">
    <w:name w:val="正文_0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01/D:\home\user01\C:\Users\admin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2018-05-22T19:40:00Z</dcterms:created>
  <dc:creator>admin</dc:creator>
  <cp:lastModifiedBy>user01</cp:lastModifiedBy>
  <cp:lastPrinted>2022-03-14T11:37:00Z</cp:lastPrinted>
  <dcterms:modified xsi:type="dcterms:W3CDTF">2022-03-14T16:22:05Z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34F76190C668494499A27014F7D0EE94</vt:lpwstr>
  </property>
</Properties>
</file>