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4"/>
        <w:tblW w:w="21045" w:type="dxa"/>
        <w:jc w:val="center"/>
        <w:tblLayout w:type="autofit"/>
        <w:tblCellMar>
          <w:top w:w="15" w:type="dxa"/>
          <w:left w:w="15" w:type="dxa"/>
          <w:bottom w:w="0" w:type="dxa"/>
          <w:right w:w="15" w:type="dxa"/>
        </w:tblCellMar>
      </w:tblPr>
      <w:tblGrid>
        <w:gridCol w:w="247"/>
        <w:gridCol w:w="746"/>
        <w:gridCol w:w="425"/>
        <w:gridCol w:w="1198"/>
        <w:gridCol w:w="503"/>
        <w:gridCol w:w="709"/>
        <w:gridCol w:w="1075"/>
        <w:gridCol w:w="304"/>
        <w:gridCol w:w="304"/>
        <w:gridCol w:w="816"/>
        <w:gridCol w:w="334"/>
        <w:gridCol w:w="497"/>
        <w:gridCol w:w="479"/>
        <w:gridCol w:w="317"/>
        <w:gridCol w:w="2394"/>
        <w:gridCol w:w="851"/>
        <w:gridCol w:w="708"/>
        <w:gridCol w:w="567"/>
        <w:gridCol w:w="1134"/>
        <w:gridCol w:w="1134"/>
        <w:gridCol w:w="1276"/>
        <w:gridCol w:w="709"/>
        <w:gridCol w:w="850"/>
        <w:gridCol w:w="1093"/>
        <w:gridCol w:w="750"/>
        <w:gridCol w:w="992"/>
        <w:gridCol w:w="633"/>
      </w:tblGrid>
      <w:tr>
        <w:tblPrEx>
          <w:tblCellMar>
            <w:top w:w="15" w:type="dxa"/>
            <w:left w:w="15" w:type="dxa"/>
            <w:bottom w:w="0" w:type="dxa"/>
            <w:right w:w="15" w:type="dxa"/>
          </w:tblCellMar>
        </w:tblPrEx>
        <w:trPr>
          <w:trHeight w:val="660" w:hRule="atLeast"/>
          <w:jc w:val="center"/>
        </w:trPr>
        <w:tc>
          <w:tcPr>
            <w:tcW w:w="21045" w:type="dxa"/>
            <w:gridSpan w:val="27"/>
            <w:shd w:val="clear" w:color="auto" w:fill="auto"/>
            <w:noWrap/>
            <w:vAlign w:val="center"/>
          </w:tcPr>
          <w:p>
            <w:pPr>
              <w:jc w:val="center"/>
              <w:rPr>
                <w:rFonts w:ascii="方正小标宋简体" w:eastAsia="方正小标宋简体"/>
                <w:sz w:val="44"/>
                <w:szCs w:val="44"/>
              </w:rPr>
            </w:pPr>
            <w:r>
              <w:rPr>
                <w:rFonts w:hint="eastAsia" w:ascii="方正小标宋简体" w:eastAsia="方正小标宋简体"/>
                <w:sz w:val="44"/>
                <w:szCs w:val="44"/>
              </w:rPr>
              <w:t>德阳市城市管理行政执法局行政处罚公示</w:t>
            </w:r>
          </w:p>
        </w:tc>
      </w:tr>
      <w:tr>
        <w:tblPrEx>
          <w:tblCellMar>
            <w:top w:w="15" w:type="dxa"/>
            <w:left w:w="15" w:type="dxa"/>
            <w:bottom w:w="0" w:type="dxa"/>
            <w:right w:w="15" w:type="dxa"/>
          </w:tblCellMar>
        </w:tblPrEx>
        <w:trPr>
          <w:trHeight w:val="1242" w:hRule="atLeast"/>
          <w:jc w:val="center"/>
        </w:trPr>
        <w:tc>
          <w:tcPr>
            <w:tcW w:w="4903" w:type="dxa"/>
            <w:gridSpan w:val="7"/>
            <w:shd w:val="clear" w:color="auto" w:fill="auto"/>
            <w:vAlign w:val="center"/>
          </w:tcPr>
          <w:p>
            <w:pPr>
              <w:rPr>
                <w:sz w:val="28"/>
                <w:szCs w:val="28"/>
              </w:rPr>
            </w:pPr>
            <w:r>
              <w:rPr>
                <w:rFonts w:hint="eastAsia"/>
                <w:sz w:val="28"/>
                <w:szCs w:val="28"/>
              </w:rPr>
              <w:t>填报单位：执法支队</w:t>
            </w:r>
          </w:p>
        </w:tc>
        <w:tc>
          <w:tcPr>
            <w:tcW w:w="0" w:type="auto"/>
            <w:shd w:val="clear" w:color="auto" w:fill="auto"/>
            <w:noWrap/>
            <w:vAlign w:val="center"/>
          </w:tcPr>
          <w:p/>
        </w:tc>
        <w:tc>
          <w:tcPr>
            <w:tcW w:w="0" w:type="auto"/>
            <w:shd w:val="clear" w:color="auto" w:fill="auto"/>
            <w:noWrap/>
            <w:vAlign w:val="center"/>
          </w:tcPr>
          <w:p/>
        </w:tc>
        <w:tc>
          <w:tcPr>
            <w:tcW w:w="0" w:type="auto"/>
            <w:shd w:val="clear" w:color="auto" w:fill="auto"/>
            <w:noWrap/>
            <w:vAlign w:val="center"/>
          </w:tcPr>
          <w:p/>
        </w:tc>
        <w:tc>
          <w:tcPr>
            <w:tcW w:w="0" w:type="auto"/>
            <w:shd w:val="clear" w:color="auto" w:fill="auto"/>
            <w:noWrap/>
            <w:vAlign w:val="center"/>
          </w:tcPr>
          <w:p/>
        </w:tc>
        <w:tc>
          <w:tcPr>
            <w:tcW w:w="0" w:type="auto"/>
            <w:shd w:val="clear" w:color="auto" w:fill="auto"/>
            <w:noWrap/>
            <w:vAlign w:val="center"/>
          </w:tcPr>
          <w:p/>
        </w:tc>
        <w:tc>
          <w:tcPr>
            <w:tcW w:w="0" w:type="auto"/>
            <w:shd w:val="clear" w:color="auto" w:fill="auto"/>
            <w:noWrap/>
            <w:vAlign w:val="center"/>
          </w:tcPr>
          <w:p/>
        </w:tc>
        <w:tc>
          <w:tcPr>
            <w:tcW w:w="0" w:type="auto"/>
            <w:shd w:val="clear" w:color="auto" w:fill="auto"/>
            <w:noWrap/>
            <w:vAlign w:val="center"/>
          </w:tcPr>
          <w:p/>
        </w:tc>
        <w:tc>
          <w:tcPr>
            <w:tcW w:w="2394" w:type="dxa"/>
            <w:shd w:val="clear" w:color="auto" w:fill="auto"/>
            <w:noWrap/>
            <w:vAlign w:val="center"/>
          </w:tcPr>
          <w:p/>
        </w:tc>
        <w:tc>
          <w:tcPr>
            <w:tcW w:w="851" w:type="dxa"/>
            <w:shd w:val="clear" w:color="auto" w:fill="auto"/>
            <w:noWrap/>
            <w:vAlign w:val="center"/>
          </w:tcPr>
          <w:p/>
        </w:tc>
        <w:tc>
          <w:tcPr>
            <w:tcW w:w="708" w:type="dxa"/>
            <w:shd w:val="clear" w:color="auto" w:fill="auto"/>
            <w:noWrap/>
            <w:vAlign w:val="center"/>
          </w:tcPr>
          <w:p/>
        </w:tc>
        <w:tc>
          <w:tcPr>
            <w:tcW w:w="567" w:type="dxa"/>
            <w:shd w:val="clear" w:color="auto" w:fill="auto"/>
            <w:noWrap/>
            <w:vAlign w:val="center"/>
          </w:tcPr>
          <w:p/>
        </w:tc>
        <w:tc>
          <w:tcPr>
            <w:tcW w:w="1134" w:type="dxa"/>
            <w:shd w:val="clear" w:color="auto" w:fill="auto"/>
            <w:noWrap/>
            <w:vAlign w:val="center"/>
          </w:tcPr>
          <w:p/>
        </w:tc>
        <w:tc>
          <w:tcPr>
            <w:tcW w:w="1134" w:type="dxa"/>
            <w:shd w:val="clear" w:color="auto" w:fill="auto"/>
            <w:noWrap/>
            <w:vAlign w:val="center"/>
          </w:tcPr>
          <w:p/>
        </w:tc>
        <w:tc>
          <w:tcPr>
            <w:tcW w:w="1276" w:type="dxa"/>
            <w:shd w:val="clear" w:color="auto" w:fill="auto"/>
            <w:noWrap/>
            <w:vAlign w:val="center"/>
          </w:tcPr>
          <w:p/>
        </w:tc>
        <w:tc>
          <w:tcPr>
            <w:tcW w:w="709" w:type="dxa"/>
            <w:shd w:val="clear" w:color="auto" w:fill="auto"/>
            <w:noWrap/>
            <w:vAlign w:val="center"/>
          </w:tcPr>
          <w:p/>
        </w:tc>
        <w:tc>
          <w:tcPr>
            <w:tcW w:w="850" w:type="dxa"/>
            <w:shd w:val="clear" w:color="auto" w:fill="auto"/>
            <w:noWrap/>
            <w:vAlign w:val="center"/>
          </w:tcPr>
          <w:p/>
        </w:tc>
        <w:tc>
          <w:tcPr>
            <w:tcW w:w="3468" w:type="dxa"/>
            <w:gridSpan w:val="4"/>
            <w:shd w:val="clear" w:color="auto" w:fill="auto"/>
            <w:noWrap/>
            <w:vAlign w:val="center"/>
          </w:tcPr>
          <w:p>
            <w:r>
              <w:rPr>
                <w:rFonts w:hint="eastAsia"/>
              </w:rPr>
              <w:t>填报时间：2021年11月25日</w:t>
            </w:r>
          </w:p>
        </w:tc>
      </w:tr>
      <w:tr>
        <w:tblPrEx>
          <w:tblCellMar>
            <w:top w:w="15" w:type="dxa"/>
            <w:left w:w="15" w:type="dxa"/>
            <w:bottom w:w="0" w:type="dxa"/>
            <w:right w:w="15" w:type="dxa"/>
          </w:tblCellMar>
        </w:tblPrEx>
        <w:trPr>
          <w:trHeight w:val="1140" w:hRule="atLeast"/>
          <w:jc w:val="center"/>
        </w:trPr>
        <w:tc>
          <w:tcPr>
            <w:tcW w:w="24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序号</w:t>
            </w:r>
          </w:p>
        </w:tc>
        <w:tc>
          <w:tcPr>
            <w:tcW w:w="7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行政相对人名称</w:t>
            </w:r>
          </w:p>
        </w:tc>
        <w:tc>
          <w:tcPr>
            <w:tcW w:w="4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行政相对人类别</w:t>
            </w:r>
          </w:p>
        </w:tc>
        <w:tc>
          <w:tcPr>
            <w:tcW w:w="1198" w:type="dxa"/>
            <w:tcBorders>
              <w:top w:val="single" w:color="auto" w:sz="4" w:space="0"/>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行政相对人代码</w:t>
            </w:r>
          </w:p>
        </w:tc>
        <w:tc>
          <w:tcPr>
            <w:tcW w:w="2287"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法人</w:t>
            </w:r>
          </w:p>
        </w:tc>
        <w:tc>
          <w:tcPr>
            <w:tcW w:w="608"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自然人</w:t>
            </w:r>
          </w:p>
        </w:tc>
        <w:tc>
          <w:tcPr>
            <w:tcW w:w="8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行政处罚决定书文号</w:t>
            </w:r>
          </w:p>
        </w:tc>
        <w:tc>
          <w:tcPr>
            <w:tcW w:w="3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违法行为类型</w:t>
            </w:r>
          </w:p>
        </w:tc>
        <w:tc>
          <w:tcPr>
            <w:tcW w:w="49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违法事实</w:t>
            </w:r>
          </w:p>
        </w:tc>
        <w:tc>
          <w:tcPr>
            <w:tcW w:w="47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处罚依据</w:t>
            </w:r>
          </w:p>
        </w:tc>
        <w:tc>
          <w:tcPr>
            <w:tcW w:w="3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处罚类别</w:t>
            </w:r>
          </w:p>
        </w:tc>
        <w:tc>
          <w:tcPr>
            <w:tcW w:w="23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处罚内容</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罚款金额（万元）</w:t>
            </w:r>
          </w:p>
        </w:tc>
        <w:tc>
          <w:tcPr>
            <w:tcW w:w="70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没收违法所得、没收非法财物的金额</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暂扣或吊销证照名称及编号</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处罚决定日期</w:t>
            </w:r>
          </w:p>
        </w:tc>
        <w:tc>
          <w:tcPr>
            <w:tcW w:w="11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处罚有效期</w:t>
            </w:r>
          </w:p>
        </w:tc>
        <w:tc>
          <w:tcPr>
            <w:tcW w:w="12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公示截止期</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处罚机关</w:t>
            </w:r>
          </w:p>
        </w:tc>
        <w:tc>
          <w:tcPr>
            <w:tcW w:w="8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处罚机关统一社会信用代码</w:t>
            </w:r>
          </w:p>
        </w:tc>
        <w:tc>
          <w:tcPr>
            <w:tcW w:w="10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数据来源单位</w:t>
            </w:r>
          </w:p>
        </w:tc>
        <w:tc>
          <w:tcPr>
            <w:tcW w:w="7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数据来源单位统一社会信用代码</w:t>
            </w: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是否为简易程序处罚</w:t>
            </w:r>
          </w:p>
        </w:tc>
        <w:tc>
          <w:tcPr>
            <w:tcW w:w="6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备注</w:t>
            </w:r>
          </w:p>
        </w:tc>
      </w:tr>
      <w:tr>
        <w:tblPrEx>
          <w:tblCellMar>
            <w:top w:w="15" w:type="dxa"/>
            <w:left w:w="15" w:type="dxa"/>
            <w:bottom w:w="0" w:type="dxa"/>
            <w:right w:w="15" w:type="dxa"/>
          </w:tblCellMar>
        </w:tblPrEx>
        <w:trPr>
          <w:trHeight w:val="675" w:hRule="atLeast"/>
          <w:jc w:val="center"/>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74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1198"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统一社会信用代码</w:t>
            </w:r>
          </w:p>
        </w:tc>
        <w:tc>
          <w:tcPr>
            <w:tcW w:w="503"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法定代表人</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法定代表人证件类型</w:t>
            </w:r>
          </w:p>
        </w:tc>
        <w:tc>
          <w:tcPr>
            <w:tcW w:w="1075" w:type="dxa"/>
            <w:tcBorders>
              <w:top w:val="nil"/>
              <w:left w:val="nil"/>
              <w:bottom w:val="single" w:color="auto" w:sz="4" w:space="0"/>
              <w:right w:val="single" w:color="auto" w:sz="4" w:space="0"/>
            </w:tcBorders>
            <w:shd w:val="clear" w:color="auto" w:fill="auto"/>
            <w:noWrap/>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法定代表人证件号码</w:t>
            </w:r>
          </w:p>
        </w:tc>
        <w:tc>
          <w:tcPr>
            <w:tcW w:w="304"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证件类型</w:t>
            </w:r>
          </w:p>
        </w:tc>
        <w:tc>
          <w:tcPr>
            <w:tcW w:w="304"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证件号码</w:t>
            </w: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23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70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11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12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8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10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7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c>
          <w:tcPr>
            <w:tcW w:w="63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b/>
                <w:bCs/>
                <w:sz w:val="18"/>
                <w:szCs w:val="18"/>
              </w:rPr>
            </w:pPr>
          </w:p>
        </w:tc>
      </w:tr>
      <w:tr>
        <w:tblPrEx>
          <w:tblCellMar>
            <w:top w:w="15" w:type="dxa"/>
            <w:left w:w="15" w:type="dxa"/>
            <w:bottom w:w="0" w:type="dxa"/>
            <w:right w:w="15" w:type="dxa"/>
          </w:tblCellMar>
        </w:tblPrEx>
        <w:trPr>
          <w:trHeight w:val="4830" w:hRule="atLeast"/>
          <w:jc w:val="center"/>
        </w:trPr>
        <w:tc>
          <w:tcPr>
            <w:tcW w:w="247" w:type="dxa"/>
            <w:tcBorders>
              <w:top w:val="nil"/>
              <w:left w:val="single" w:color="auto" w:sz="4" w:space="0"/>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5</w:t>
            </w:r>
          </w:p>
        </w:tc>
        <w:tc>
          <w:tcPr>
            <w:tcW w:w="746"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德阳市兴莲服装服饰有限公司</w:t>
            </w:r>
          </w:p>
        </w:tc>
        <w:tc>
          <w:tcPr>
            <w:tcW w:w="425"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法人及非法人组织</w:t>
            </w:r>
          </w:p>
        </w:tc>
        <w:tc>
          <w:tcPr>
            <w:tcW w:w="1198" w:type="dxa"/>
            <w:tcBorders>
              <w:top w:val="nil"/>
              <w:left w:val="nil"/>
              <w:bottom w:val="single" w:color="auto" w:sz="4" w:space="0"/>
              <w:right w:val="single" w:color="auto" w:sz="4" w:space="0"/>
            </w:tcBorders>
            <w:shd w:val="clear" w:color="000000" w:fill="FFFFFF"/>
            <w:vAlign w:val="center"/>
          </w:tcPr>
          <w:p>
            <w:pPr>
              <w:jc w:val="center"/>
              <w:rPr>
                <w:rFonts w:hint="eastAsia"/>
                <w:color w:val="000000"/>
                <w:sz w:val="18"/>
                <w:szCs w:val="18"/>
              </w:rPr>
            </w:pPr>
            <w:r>
              <w:rPr>
                <w:rFonts w:hint="eastAsia"/>
                <w:color w:val="000000"/>
                <w:sz w:val="18"/>
                <w:szCs w:val="18"/>
              </w:rPr>
              <w:t>915106</w:t>
            </w:r>
          </w:p>
          <w:p>
            <w:pPr>
              <w:jc w:val="center"/>
              <w:rPr>
                <w:rFonts w:hint="eastAsia"/>
                <w:color w:val="000000"/>
                <w:sz w:val="18"/>
                <w:szCs w:val="18"/>
              </w:rPr>
            </w:pPr>
            <w:r>
              <w:rPr>
                <w:rFonts w:hint="eastAsia"/>
                <w:color w:val="000000"/>
                <w:sz w:val="18"/>
                <w:szCs w:val="18"/>
              </w:rPr>
              <w:t>0020515</w:t>
            </w:r>
          </w:p>
          <w:p>
            <w:pPr>
              <w:jc w:val="center"/>
              <w:rPr>
                <w:color w:val="000000"/>
                <w:sz w:val="18"/>
                <w:szCs w:val="18"/>
              </w:rPr>
            </w:pPr>
            <w:r>
              <w:rPr>
                <w:rFonts w:hint="eastAsia"/>
                <w:color w:val="000000"/>
                <w:sz w:val="18"/>
                <w:szCs w:val="18"/>
              </w:rPr>
              <w:t>998XD</w:t>
            </w:r>
          </w:p>
        </w:tc>
        <w:tc>
          <w:tcPr>
            <w:tcW w:w="503"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张兴莲</w:t>
            </w:r>
          </w:p>
        </w:tc>
        <w:tc>
          <w:tcPr>
            <w:tcW w:w="709" w:type="dxa"/>
            <w:tcBorders>
              <w:top w:val="nil"/>
              <w:left w:val="nil"/>
              <w:bottom w:val="single" w:color="auto" w:sz="4" w:space="0"/>
              <w:right w:val="single" w:color="auto" w:sz="4" w:space="0"/>
            </w:tcBorders>
            <w:shd w:val="clear" w:color="000000" w:fill="FFFFFF"/>
            <w:vAlign w:val="center"/>
          </w:tcPr>
          <w:p>
            <w:pPr>
              <w:jc w:val="center"/>
              <w:rPr>
                <w:sz w:val="18"/>
                <w:szCs w:val="18"/>
              </w:rPr>
            </w:pPr>
            <w:r>
              <w:rPr>
                <w:rFonts w:hint="eastAsia"/>
                <w:sz w:val="18"/>
                <w:szCs w:val="18"/>
              </w:rPr>
              <w:t>身份证</w:t>
            </w:r>
          </w:p>
        </w:tc>
        <w:tc>
          <w:tcPr>
            <w:tcW w:w="1075" w:type="dxa"/>
            <w:tcBorders>
              <w:top w:val="nil"/>
              <w:left w:val="nil"/>
              <w:bottom w:val="single" w:color="auto" w:sz="4" w:space="0"/>
              <w:right w:val="single" w:color="auto" w:sz="4" w:space="0"/>
            </w:tcBorders>
            <w:shd w:val="clear" w:color="auto" w:fill="auto"/>
            <w:vAlign w:val="center"/>
          </w:tcPr>
          <w:p>
            <w:pPr>
              <w:jc w:val="center"/>
              <w:rPr>
                <w:sz w:val="18"/>
                <w:szCs w:val="18"/>
              </w:rPr>
            </w:pPr>
            <w:bookmarkStart w:id="0" w:name="_GoBack"/>
            <w:bookmarkEnd w:id="0"/>
          </w:p>
        </w:tc>
        <w:tc>
          <w:tcPr>
            <w:tcW w:w="304"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　</w:t>
            </w:r>
          </w:p>
        </w:tc>
        <w:tc>
          <w:tcPr>
            <w:tcW w:w="304"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　</w:t>
            </w:r>
          </w:p>
        </w:tc>
        <w:tc>
          <w:tcPr>
            <w:tcW w:w="816"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德市城管(经）行罚字〔2021〕21号</w:t>
            </w:r>
          </w:p>
        </w:tc>
        <w:tc>
          <w:tcPr>
            <w:tcW w:w="334"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未对暂时不能开工的建设用地裸露地面进行覆盖的行为</w:t>
            </w:r>
          </w:p>
        </w:tc>
        <w:tc>
          <w:tcPr>
            <w:tcW w:w="497"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违反了《中华人民共和国大气污染防治法》第六十九条第五款</w:t>
            </w:r>
          </w:p>
        </w:tc>
        <w:tc>
          <w:tcPr>
            <w:tcW w:w="479"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《中华人民共和国大气污染防治法》第一百一十五条第一款、第二款</w:t>
            </w:r>
          </w:p>
        </w:tc>
        <w:tc>
          <w:tcPr>
            <w:tcW w:w="317"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罚款</w:t>
            </w:r>
          </w:p>
        </w:tc>
        <w:tc>
          <w:tcPr>
            <w:tcW w:w="2394"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德阳市兴莲服装服饰有限公司未对暂时不能开工的建设用地裸露地面进行覆盖的行为违反了《中华人民共和国大气污染防治法》第六十九条第五款之规定。经执法人员责令改正后，德阳市兴莲服装服饰有限公司及时改正，于次日对裸露土地、建渣进行了覆盖。依据《中华人民共和国大气污染防治法》第一百一十五条第一款、第二款，对德阳市兴莲服装服饰有限公司予以罚款10000元（大写：壹万元整）的行政处罚。</w:t>
            </w:r>
          </w:p>
        </w:tc>
        <w:tc>
          <w:tcPr>
            <w:tcW w:w="851"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1</w:t>
            </w:r>
          </w:p>
        </w:tc>
        <w:tc>
          <w:tcPr>
            <w:tcW w:w="708" w:type="dxa"/>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　</w:t>
            </w:r>
          </w:p>
        </w:tc>
        <w:tc>
          <w:tcPr>
            <w:tcW w:w="567" w:type="dxa"/>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　</w:t>
            </w:r>
          </w:p>
        </w:tc>
        <w:tc>
          <w:tcPr>
            <w:tcW w:w="1134" w:type="dxa"/>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2021/11/19</w:t>
            </w:r>
          </w:p>
        </w:tc>
        <w:tc>
          <w:tcPr>
            <w:tcW w:w="1134" w:type="dxa"/>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2022/11/19</w:t>
            </w:r>
          </w:p>
        </w:tc>
        <w:tc>
          <w:tcPr>
            <w:tcW w:w="1276" w:type="dxa"/>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2022/11/19</w:t>
            </w:r>
          </w:p>
        </w:tc>
        <w:tc>
          <w:tcPr>
            <w:tcW w:w="709"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德阳市城市管理行政执法局</w:t>
            </w:r>
          </w:p>
        </w:tc>
        <w:tc>
          <w:tcPr>
            <w:tcW w:w="850" w:type="dxa"/>
            <w:tcBorders>
              <w:top w:val="nil"/>
              <w:left w:val="nil"/>
              <w:bottom w:val="single" w:color="auto" w:sz="4" w:space="0"/>
              <w:right w:val="single" w:color="auto" w:sz="4" w:space="0"/>
            </w:tcBorders>
            <w:shd w:val="clear" w:color="000000" w:fill="FFFFFF"/>
            <w:vAlign w:val="center"/>
          </w:tcPr>
          <w:p>
            <w:pPr>
              <w:jc w:val="center"/>
              <w:rPr>
                <w:rFonts w:hint="eastAsia"/>
                <w:color w:val="000000"/>
                <w:sz w:val="18"/>
                <w:szCs w:val="18"/>
              </w:rPr>
            </w:pPr>
            <w:r>
              <w:rPr>
                <w:rFonts w:hint="eastAsia"/>
                <w:color w:val="000000"/>
                <w:sz w:val="18"/>
                <w:szCs w:val="18"/>
              </w:rPr>
              <w:t>115105</w:t>
            </w:r>
          </w:p>
          <w:p>
            <w:pPr>
              <w:jc w:val="center"/>
              <w:rPr>
                <w:rFonts w:hint="eastAsia"/>
                <w:color w:val="000000"/>
                <w:sz w:val="18"/>
                <w:szCs w:val="18"/>
              </w:rPr>
            </w:pPr>
            <w:r>
              <w:rPr>
                <w:rFonts w:hint="eastAsia"/>
                <w:color w:val="000000"/>
                <w:sz w:val="18"/>
                <w:szCs w:val="18"/>
              </w:rPr>
              <w:t>0056760</w:t>
            </w:r>
          </w:p>
          <w:p>
            <w:pPr>
              <w:jc w:val="center"/>
              <w:rPr>
                <w:color w:val="000000"/>
                <w:sz w:val="18"/>
                <w:szCs w:val="18"/>
              </w:rPr>
            </w:pPr>
            <w:r>
              <w:rPr>
                <w:rFonts w:hint="eastAsia"/>
                <w:color w:val="000000"/>
                <w:sz w:val="18"/>
                <w:szCs w:val="18"/>
              </w:rPr>
              <w:t>0306Y</w:t>
            </w:r>
          </w:p>
        </w:tc>
        <w:tc>
          <w:tcPr>
            <w:tcW w:w="1093" w:type="dxa"/>
            <w:tcBorders>
              <w:top w:val="nil"/>
              <w:left w:val="nil"/>
              <w:bottom w:val="single" w:color="auto" w:sz="4" w:space="0"/>
              <w:right w:val="single" w:color="auto" w:sz="4" w:space="0"/>
            </w:tcBorders>
            <w:shd w:val="clear" w:color="000000" w:fill="FFFFFF"/>
            <w:vAlign w:val="center"/>
          </w:tcPr>
          <w:p>
            <w:pPr>
              <w:jc w:val="center"/>
              <w:rPr>
                <w:color w:val="000000"/>
                <w:sz w:val="18"/>
                <w:szCs w:val="18"/>
              </w:rPr>
            </w:pPr>
            <w:r>
              <w:rPr>
                <w:rFonts w:hint="eastAsia"/>
                <w:color w:val="000000"/>
                <w:sz w:val="18"/>
                <w:szCs w:val="18"/>
              </w:rPr>
              <w:t>德阳市城市管理行政执法局</w:t>
            </w:r>
          </w:p>
        </w:tc>
        <w:tc>
          <w:tcPr>
            <w:tcW w:w="750" w:type="dxa"/>
            <w:tcBorders>
              <w:top w:val="nil"/>
              <w:left w:val="nil"/>
              <w:bottom w:val="single" w:color="auto" w:sz="4" w:space="0"/>
              <w:right w:val="single" w:color="auto" w:sz="4" w:space="0"/>
            </w:tcBorders>
            <w:shd w:val="clear" w:color="000000" w:fill="FFFFFF"/>
            <w:vAlign w:val="center"/>
          </w:tcPr>
          <w:p>
            <w:pPr>
              <w:jc w:val="center"/>
              <w:rPr>
                <w:rFonts w:hint="eastAsia"/>
                <w:color w:val="000000"/>
                <w:sz w:val="18"/>
                <w:szCs w:val="18"/>
              </w:rPr>
            </w:pPr>
            <w:r>
              <w:rPr>
                <w:rFonts w:hint="eastAsia"/>
                <w:color w:val="000000"/>
                <w:sz w:val="18"/>
                <w:szCs w:val="18"/>
              </w:rPr>
              <w:t>115105</w:t>
            </w:r>
          </w:p>
          <w:p>
            <w:pPr>
              <w:jc w:val="center"/>
              <w:rPr>
                <w:rFonts w:hint="eastAsia"/>
                <w:color w:val="000000"/>
                <w:sz w:val="18"/>
                <w:szCs w:val="18"/>
              </w:rPr>
            </w:pPr>
            <w:r>
              <w:rPr>
                <w:rFonts w:hint="eastAsia"/>
                <w:color w:val="000000"/>
                <w:sz w:val="18"/>
                <w:szCs w:val="18"/>
              </w:rPr>
              <w:t>00567600</w:t>
            </w:r>
          </w:p>
          <w:p>
            <w:pPr>
              <w:jc w:val="center"/>
              <w:rPr>
                <w:color w:val="000000"/>
                <w:sz w:val="18"/>
                <w:szCs w:val="18"/>
              </w:rPr>
            </w:pPr>
            <w:r>
              <w:rPr>
                <w:rFonts w:hint="eastAsia"/>
                <w:color w:val="000000"/>
                <w:sz w:val="18"/>
                <w:szCs w:val="18"/>
              </w:rPr>
              <w:t>306Y</w:t>
            </w:r>
          </w:p>
        </w:tc>
        <w:tc>
          <w:tcPr>
            <w:tcW w:w="992" w:type="dxa"/>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否</w:t>
            </w:r>
          </w:p>
        </w:tc>
        <w:tc>
          <w:tcPr>
            <w:tcW w:w="633" w:type="dxa"/>
            <w:tcBorders>
              <w:top w:val="nil"/>
              <w:left w:val="nil"/>
              <w:bottom w:val="single" w:color="auto" w:sz="4" w:space="0"/>
              <w:right w:val="single" w:color="auto" w:sz="4" w:space="0"/>
            </w:tcBorders>
            <w:shd w:val="clear" w:color="auto" w:fill="auto"/>
            <w:vAlign w:val="center"/>
          </w:tcPr>
          <w:p>
            <w:pPr>
              <w:jc w:val="center"/>
              <w:rPr>
                <w:sz w:val="18"/>
                <w:szCs w:val="18"/>
              </w:rPr>
            </w:pPr>
            <w:r>
              <w:rPr>
                <w:rFonts w:hint="eastAsia"/>
                <w:sz w:val="18"/>
                <w:szCs w:val="18"/>
              </w:rPr>
              <w:t>　</w:t>
            </w: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405" w:hRule="atLeast"/>
          <w:jc w:val="center"/>
        </w:trPr>
        <w:tc>
          <w:tcPr>
            <w:tcW w:w="0" w:type="auto"/>
            <w:shd w:val="clear" w:color="auto" w:fill="auto"/>
            <w:noWrap/>
            <w:vAlign w:val="bottom"/>
          </w:tcPr>
          <w:p>
            <w:pPr>
              <w:rPr>
                <w:color w:val="000000"/>
                <w:sz w:val="32"/>
                <w:szCs w:val="32"/>
              </w:rPr>
            </w:pPr>
          </w:p>
        </w:tc>
        <w:tc>
          <w:tcPr>
            <w:tcW w:w="746" w:type="dxa"/>
            <w:shd w:val="clear" w:color="auto" w:fill="auto"/>
            <w:noWrap/>
            <w:vAlign w:val="bottom"/>
          </w:tcPr>
          <w:p>
            <w:pPr>
              <w:rPr>
                <w:color w:val="000000"/>
                <w:sz w:val="32"/>
                <w:szCs w:val="32"/>
              </w:rPr>
            </w:pPr>
          </w:p>
        </w:tc>
        <w:tc>
          <w:tcPr>
            <w:tcW w:w="425" w:type="dxa"/>
            <w:shd w:val="clear" w:color="auto" w:fill="auto"/>
            <w:noWrap/>
            <w:vAlign w:val="bottom"/>
          </w:tcPr>
          <w:p>
            <w:pPr>
              <w:rPr>
                <w:color w:val="000000"/>
                <w:sz w:val="32"/>
                <w:szCs w:val="32"/>
              </w:rPr>
            </w:pPr>
          </w:p>
        </w:tc>
        <w:tc>
          <w:tcPr>
            <w:tcW w:w="1198" w:type="dxa"/>
            <w:shd w:val="clear" w:color="auto" w:fill="auto"/>
            <w:noWrap/>
            <w:vAlign w:val="bottom"/>
          </w:tcPr>
          <w:p>
            <w:pPr>
              <w:rPr>
                <w:color w:val="000000"/>
                <w:sz w:val="32"/>
                <w:szCs w:val="32"/>
              </w:rPr>
            </w:pPr>
          </w:p>
        </w:tc>
        <w:tc>
          <w:tcPr>
            <w:tcW w:w="503" w:type="dxa"/>
            <w:shd w:val="clear" w:color="auto" w:fill="auto"/>
            <w:noWrap/>
            <w:vAlign w:val="bottom"/>
          </w:tcPr>
          <w:p>
            <w:pPr>
              <w:rPr>
                <w:color w:val="000000"/>
                <w:sz w:val="32"/>
                <w:szCs w:val="32"/>
              </w:rPr>
            </w:pPr>
          </w:p>
        </w:tc>
        <w:tc>
          <w:tcPr>
            <w:tcW w:w="709" w:type="dxa"/>
            <w:shd w:val="clear" w:color="auto" w:fill="auto"/>
            <w:noWrap/>
            <w:vAlign w:val="bottom"/>
          </w:tcPr>
          <w:p>
            <w:pPr>
              <w:rPr>
                <w:color w:val="000000"/>
                <w:sz w:val="32"/>
                <w:szCs w:val="32"/>
              </w:rPr>
            </w:pPr>
          </w:p>
        </w:tc>
        <w:tc>
          <w:tcPr>
            <w:tcW w:w="1075" w:type="dxa"/>
            <w:shd w:val="clear" w:color="auto" w:fill="auto"/>
            <w:noWrap/>
            <w:vAlign w:val="bottom"/>
          </w:tcPr>
          <w:p>
            <w:pPr>
              <w:rPr>
                <w:color w:val="000000"/>
                <w:sz w:val="32"/>
                <w:szCs w:val="32"/>
              </w:rPr>
            </w:pPr>
          </w:p>
        </w:tc>
        <w:tc>
          <w:tcPr>
            <w:tcW w:w="0" w:type="auto"/>
            <w:shd w:val="clear" w:color="auto" w:fill="auto"/>
            <w:noWrap/>
            <w:vAlign w:val="bottom"/>
          </w:tcPr>
          <w:p>
            <w:pPr>
              <w:rPr>
                <w:color w:val="000000"/>
                <w:sz w:val="32"/>
                <w:szCs w:val="32"/>
              </w:rPr>
            </w:pPr>
          </w:p>
        </w:tc>
        <w:tc>
          <w:tcPr>
            <w:tcW w:w="0" w:type="auto"/>
            <w:shd w:val="clear" w:color="auto" w:fill="auto"/>
            <w:noWrap/>
            <w:vAlign w:val="bottom"/>
          </w:tcPr>
          <w:p>
            <w:pPr>
              <w:rPr>
                <w:color w:val="000000"/>
                <w:sz w:val="32"/>
                <w:szCs w:val="32"/>
              </w:rPr>
            </w:pPr>
          </w:p>
        </w:tc>
        <w:tc>
          <w:tcPr>
            <w:tcW w:w="0" w:type="auto"/>
            <w:shd w:val="clear" w:color="auto" w:fill="auto"/>
            <w:noWrap/>
            <w:vAlign w:val="bottom"/>
          </w:tcPr>
          <w:p>
            <w:pPr>
              <w:rPr>
                <w:color w:val="000000"/>
                <w:sz w:val="32"/>
                <w:szCs w:val="32"/>
              </w:rPr>
            </w:pPr>
          </w:p>
        </w:tc>
        <w:tc>
          <w:tcPr>
            <w:tcW w:w="0" w:type="auto"/>
            <w:shd w:val="clear" w:color="auto" w:fill="auto"/>
            <w:noWrap/>
            <w:vAlign w:val="bottom"/>
          </w:tcPr>
          <w:p>
            <w:pPr>
              <w:rPr>
                <w:color w:val="000000"/>
                <w:sz w:val="32"/>
                <w:szCs w:val="32"/>
              </w:rPr>
            </w:pPr>
          </w:p>
        </w:tc>
        <w:tc>
          <w:tcPr>
            <w:tcW w:w="0" w:type="auto"/>
            <w:shd w:val="clear" w:color="auto" w:fill="auto"/>
            <w:noWrap/>
            <w:vAlign w:val="bottom"/>
          </w:tcPr>
          <w:p>
            <w:pPr>
              <w:rPr>
                <w:color w:val="000000"/>
                <w:sz w:val="32"/>
                <w:szCs w:val="32"/>
              </w:rPr>
            </w:pPr>
          </w:p>
        </w:tc>
        <w:tc>
          <w:tcPr>
            <w:tcW w:w="0" w:type="auto"/>
            <w:shd w:val="clear" w:color="auto" w:fill="auto"/>
            <w:noWrap/>
            <w:vAlign w:val="bottom"/>
          </w:tcPr>
          <w:p>
            <w:pPr>
              <w:rPr>
                <w:color w:val="000000"/>
                <w:sz w:val="32"/>
                <w:szCs w:val="32"/>
              </w:rPr>
            </w:pPr>
          </w:p>
        </w:tc>
        <w:tc>
          <w:tcPr>
            <w:tcW w:w="0" w:type="auto"/>
            <w:shd w:val="clear" w:color="auto" w:fill="auto"/>
            <w:noWrap/>
            <w:vAlign w:val="bottom"/>
          </w:tcPr>
          <w:p>
            <w:pPr>
              <w:rPr>
                <w:color w:val="000000"/>
                <w:sz w:val="32"/>
                <w:szCs w:val="32"/>
              </w:rPr>
            </w:pPr>
          </w:p>
        </w:tc>
        <w:tc>
          <w:tcPr>
            <w:tcW w:w="2394" w:type="dxa"/>
            <w:shd w:val="clear" w:color="auto" w:fill="auto"/>
            <w:noWrap/>
            <w:vAlign w:val="bottom"/>
          </w:tcPr>
          <w:p>
            <w:pPr>
              <w:rPr>
                <w:color w:val="000000"/>
                <w:sz w:val="32"/>
                <w:szCs w:val="32"/>
              </w:rPr>
            </w:pPr>
          </w:p>
        </w:tc>
        <w:tc>
          <w:tcPr>
            <w:tcW w:w="851" w:type="dxa"/>
            <w:shd w:val="clear" w:color="auto" w:fill="auto"/>
            <w:noWrap/>
            <w:vAlign w:val="bottom"/>
          </w:tcPr>
          <w:p>
            <w:pPr>
              <w:rPr>
                <w:color w:val="000000"/>
                <w:sz w:val="32"/>
                <w:szCs w:val="32"/>
              </w:rPr>
            </w:pPr>
          </w:p>
        </w:tc>
        <w:tc>
          <w:tcPr>
            <w:tcW w:w="708" w:type="dxa"/>
            <w:shd w:val="clear" w:color="auto" w:fill="auto"/>
            <w:noWrap/>
            <w:vAlign w:val="bottom"/>
          </w:tcPr>
          <w:p>
            <w:pPr>
              <w:rPr>
                <w:color w:val="000000"/>
                <w:sz w:val="32"/>
                <w:szCs w:val="32"/>
              </w:rPr>
            </w:pPr>
          </w:p>
        </w:tc>
        <w:tc>
          <w:tcPr>
            <w:tcW w:w="567" w:type="dxa"/>
            <w:shd w:val="clear" w:color="auto" w:fill="auto"/>
            <w:noWrap/>
            <w:vAlign w:val="bottom"/>
          </w:tcPr>
          <w:p>
            <w:pPr>
              <w:rPr>
                <w:color w:val="000000"/>
                <w:sz w:val="32"/>
                <w:szCs w:val="32"/>
              </w:rPr>
            </w:pPr>
          </w:p>
        </w:tc>
        <w:tc>
          <w:tcPr>
            <w:tcW w:w="1134" w:type="dxa"/>
            <w:shd w:val="clear" w:color="auto" w:fill="auto"/>
            <w:noWrap/>
            <w:vAlign w:val="bottom"/>
          </w:tcPr>
          <w:p>
            <w:pPr>
              <w:rPr>
                <w:color w:val="000000"/>
                <w:sz w:val="32"/>
                <w:szCs w:val="32"/>
              </w:rPr>
            </w:pPr>
          </w:p>
        </w:tc>
        <w:tc>
          <w:tcPr>
            <w:tcW w:w="1134" w:type="dxa"/>
            <w:shd w:val="clear" w:color="auto" w:fill="auto"/>
            <w:noWrap/>
            <w:vAlign w:val="bottom"/>
          </w:tcPr>
          <w:p>
            <w:pPr>
              <w:rPr>
                <w:color w:val="000000"/>
                <w:sz w:val="32"/>
                <w:szCs w:val="32"/>
              </w:rPr>
            </w:pPr>
          </w:p>
        </w:tc>
        <w:tc>
          <w:tcPr>
            <w:tcW w:w="1276" w:type="dxa"/>
            <w:shd w:val="clear" w:color="auto" w:fill="auto"/>
            <w:noWrap/>
            <w:vAlign w:val="bottom"/>
          </w:tcPr>
          <w:p>
            <w:pPr>
              <w:rPr>
                <w:color w:val="000000"/>
                <w:sz w:val="32"/>
                <w:szCs w:val="32"/>
              </w:rPr>
            </w:pPr>
          </w:p>
        </w:tc>
        <w:tc>
          <w:tcPr>
            <w:tcW w:w="709" w:type="dxa"/>
            <w:shd w:val="clear" w:color="auto" w:fill="auto"/>
            <w:noWrap/>
            <w:vAlign w:val="bottom"/>
          </w:tcPr>
          <w:p>
            <w:pPr>
              <w:rPr>
                <w:color w:val="000000"/>
                <w:sz w:val="32"/>
                <w:szCs w:val="32"/>
              </w:rPr>
            </w:pPr>
          </w:p>
        </w:tc>
        <w:tc>
          <w:tcPr>
            <w:tcW w:w="850" w:type="dxa"/>
            <w:shd w:val="clear" w:color="auto" w:fill="auto"/>
            <w:noWrap/>
            <w:vAlign w:val="bottom"/>
          </w:tcPr>
          <w:p>
            <w:pPr>
              <w:rPr>
                <w:color w:val="000000"/>
                <w:sz w:val="32"/>
                <w:szCs w:val="32"/>
              </w:rPr>
            </w:pPr>
          </w:p>
        </w:tc>
        <w:tc>
          <w:tcPr>
            <w:tcW w:w="1093" w:type="dxa"/>
            <w:shd w:val="clear" w:color="auto" w:fill="auto"/>
            <w:noWrap/>
            <w:vAlign w:val="bottom"/>
          </w:tcPr>
          <w:p>
            <w:pPr>
              <w:rPr>
                <w:color w:val="000000"/>
                <w:sz w:val="32"/>
                <w:szCs w:val="32"/>
              </w:rPr>
            </w:pPr>
          </w:p>
        </w:tc>
        <w:tc>
          <w:tcPr>
            <w:tcW w:w="750" w:type="dxa"/>
            <w:shd w:val="clear" w:color="auto" w:fill="auto"/>
            <w:noWrap/>
            <w:vAlign w:val="bottom"/>
          </w:tcPr>
          <w:p>
            <w:pPr>
              <w:rPr>
                <w:color w:val="000000"/>
                <w:sz w:val="32"/>
                <w:szCs w:val="32"/>
              </w:rPr>
            </w:pPr>
          </w:p>
        </w:tc>
        <w:tc>
          <w:tcPr>
            <w:tcW w:w="992" w:type="dxa"/>
            <w:shd w:val="clear" w:color="auto" w:fill="auto"/>
            <w:noWrap/>
            <w:vAlign w:val="bottom"/>
          </w:tcPr>
          <w:p>
            <w:pPr>
              <w:rPr>
                <w:color w:val="000000"/>
                <w:sz w:val="32"/>
                <w:szCs w:val="32"/>
              </w:rPr>
            </w:pPr>
          </w:p>
        </w:tc>
        <w:tc>
          <w:tcPr>
            <w:tcW w:w="633" w:type="dxa"/>
            <w:shd w:val="clear" w:color="auto" w:fill="auto"/>
            <w:noWrap/>
            <w:vAlign w:val="bottom"/>
          </w:tcPr>
          <w:p>
            <w:pPr>
              <w:rPr>
                <w:color w:val="000000"/>
                <w:sz w:val="32"/>
                <w:szCs w:val="3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vAlign w:val="center"/>
          </w:tcPr>
          <w:p>
            <w:pPr>
              <w:jc w:val="center"/>
              <w:rPr>
                <w:rFonts w:ascii="微软雅黑" w:hAnsi="微软雅黑" w:eastAsia="微软雅黑"/>
                <w:b/>
                <w:bCs/>
                <w:sz w:val="18"/>
                <w:szCs w:val="18"/>
              </w:rPr>
            </w:pPr>
            <w:r>
              <w:rPr>
                <w:rFonts w:hint="eastAsia" w:ascii="微软雅黑" w:hAnsi="微软雅黑" w:eastAsia="微软雅黑"/>
                <w:b/>
                <w:bCs/>
                <w:sz w:val="18"/>
                <w:szCs w:val="18"/>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317" w:type="dxa"/>
            <w:shd w:val="clear" w:color="auto" w:fill="auto"/>
            <w:vAlign w:val="center"/>
          </w:tcPr>
          <w:p>
            <w:pPr>
              <w:jc w:val="center"/>
              <w:rPr>
                <w:rFonts w:ascii="华文仿宋" w:hAnsi="华文仿宋" w:eastAsia="华文仿宋"/>
                <w:b/>
                <w:bCs/>
                <w:sz w:val="20"/>
                <w:szCs w:val="20"/>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trHeight w:val="285" w:hRule="atLeast"/>
          <w:jc w:val="center"/>
        </w:trPr>
        <w:tc>
          <w:tcPr>
            <w:tcW w:w="0" w:type="auto"/>
            <w:shd w:val="clear" w:color="auto" w:fill="auto"/>
            <w:noWrap/>
            <w:vAlign w:val="center"/>
          </w:tcPr>
          <w:p>
            <w:pPr>
              <w:rPr>
                <w:sz w:val="22"/>
                <w:szCs w:val="22"/>
              </w:rPr>
            </w:pPr>
          </w:p>
        </w:tc>
        <w:tc>
          <w:tcPr>
            <w:tcW w:w="746" w:type="dxa"/>
            <w:shd w:val="clear" w:color="auto" w:fill="auto"/>
            <w:noWrap/>
            <w:vAlign w:val="center"/>
          </w:tcPr>
          <w:p>
            <w:pPr>
              <w:rPr>
                <w:sz w:val="22"/>
                <w:szCs w:val="22"/>
              </w:rPr>
            </w:pPr>
          </w:p>
        </w:tc>
        <w:tc>
          <w:tcPr>
            <w:tcW w:w="425" w:type="dxa"/>
            <w:shd w:val="clear" w:color="auto" w:fill="auto"/>
            <w:noWrap/>
            <w:vAlign w:val="center"/>
          </w:tcPr>
          <w:p/>
        </w:tc>
        <w:tc>
          <w:tcPr>
            <w:tcW w:w="1198" w:type="dxa"/>
            <w:shd w:val="clear" w:color="auto" w:fill="auto"/>
            <w:noWrap/>
            <w:vAlign w:val="center"/>
          </w:tcPr>
          <w:p>
            <w:pPr>
              <w:rPr>
                <w:sz w:val="22"/>
                <w:szCs w:val="22"/>
              </w:rPr>
            </w:pPr>
          </w:p>
        </w:tc>
        <w:tc>
          <w:tcPr>
            <w:tcW w:w="503" w:type="dxa"/>
            <w:shd w:val="clear" w:color="auto" w:fill="auto"/>
            <w:noWrap/>
            <w:vAlign w:val="center"/>
          </w:tcPr>
          <w:p/>
        </w:tc>
        <w:tc>
          <w:tcPr>
            <w:tcW w:w="709" w:type="dxa"/>
            <w:shd w:val="clear" w:color="000000" w:fill="FFFFFF"/>
            <w:noWrap/>
            <w:vAlign w:val="center"/>
          </w:tcPr>
          <w:p>
            <w:r>
              <w:rPr>
                <w:rFonts w:hint="eastAsia"/>
              </w:rPr>
              <w:t>　</w:t>
            </w:r>
          </w:p>
        </w:tc>
        <w:tc>
          <w:tcPr>
            <w:tcW w:w="1075" w:type="dxa"/>
            <w:shd w:val="clear" w:color="auto" w:fill="auto"/>
            <w:noWrap/>
            <w:vAlign w:val="center"/>
          </w:tc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0" w:type="auto"/>
            <w:shd w:val="clear" w:color="auto" w:fill="auto"/>
            <w:noWrap/>
            <w:vAlign w:val="center"/>
          </w:tcPr>
          <w:p>
            <w:pPr>
              <w:rPr>
                <w:sz w:val="22"/>
                <w:szCs w:val="22"/>
              </w:rPr>
            </w:pPr>
          </w:p>
        </w:tc>
        <w:tc>
          <w:tcPr>
            <w:tcW w:w="2394" w:type="dxa"/>
            <w:shd w:val="clear" w:color="auto" w:fill="auto"/>
            <w:noWrap/>
            <w:vAlign w:val="center"/>
          </w:tcPr>
          <w:p>
            <w:pPr>
              <w:rPr>
                <w:sz w:val="22"/>
                <w:szCs w:val="22"/>
              </w:rPr>
            </w:pPr>
          </w:p>
        </w:tc>
        <w:tc>
          <w:tcPr>
            <w:tcW w:w="851" w:type="dxa"/>
            <w:shd w:val="clear" w:color="auto" w:fill="auto"/>
            <w:noWrap/>
            <w:vAlign w:val="center"/>
          </w:tcPr>
          <w:p>
            <w:pPr>
              <w:rPr>
                <w:sz w:val="22"/>
                <w:szCs w:val="22"/>
              </w:rPr>
            </w:pPr>
          </w:p>
        </w:tc>
        <w:tc>
          <w:tcPr>
            <w:tcW w:w="708" w:type="dxa"/>
            <w:shd w:val="clear" w:color="auto" w:fill="auto"/>
            <w:noWrap/>
            <w:vAlign w:val="center"/>
          </w:tcPr>
          <w:p>
            <w:pPr>
              <w:rPr>
                <w:sz w:val="22"/>
                <w:szCs w:val="22"/>
              </w:rPr>
            </w:pPr>
          </w:p>
        </w:tc>
        <w:tc>
          <w:tcPr>
            <w:tcW w:w="567"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134" w:type="dxa"/>
            <w:shd w:val="clear" w:color="auto" w:fill="auto"/>
            <w:noWrap/>
            <w:vAlign w:val="center"/>
          </w:tcPr>
          <w:p>
            <w:pPr>
              <w:rPr>
                <w:sz w:val="22"/>
                <w:szCs w:val="22"/>
              </w:rPr>
            </w:pPr>
          </w:p>
        </w:tc>
        <w:tc>
          <w:tcPr>
            <w:tcW w:w="1276" w:type="dxa"/>
            <w:shd w:val="clear" w:color="auto" w:fill="auto"/>
            <w:noWrap/>
            <w:vAlign w:val="center"/>
          </w:tcPr>
          <w:p>
            <w:pPr>
              <w:rPr>
                <w:sz w:val="22"/>
                <w:szCs w:val="22"/>
              </w:rPr>
            </w:pPr>
          </w:p>
        </w:tc>
        <w:tc>
          <w:tcPr>
            <w:tcW w:w="709" w:type="dxa"/>
            <w:shd w:val="clear" w:color="auto" w:fill="auto"/>
            <w:noWrap/>
            <w:vAlign w:val="center"/>
          </w:tcPr>
          <w:p>
            <w:pPr>
              <w:rPr>
                <w:sz w:val="22"/>
                <w:szCs w:val="22"/>
              </w:rPr>
            </w:pPr>
          </w:p>
        </w:tc>
        <w:tc>
          <w:tcPr>
            <w:tcW w:w="850" w:type="dxa"/>
            <w:shd w:val="clear" w:color="auto" w:fill="auto"/>
            <w:noWrap/>
            <w:vAlign w:val="center"/>
          </w:tcPr>
          <w:p>
            <w:pPr>
              <w:rPr>
                <w:sz w:val="22"/>
                <w:szCs w:val="22"/>
              </w:rPr>
            </w:pPr>
          </w:p>
        </w:tc>
        <w:tc>
          <w:tcPr>
            <w:tcW w:w="1093" w:type="dxa"/>
            <w:shd w:val="clear" w:color="auto" w:fill="auto"/>
            <w:noWrap/>
            <w:vAlign w:val="center"/>
          </w:tcPr>
          <w:p>
            <w:pPr>
              <w:rPr>
                <w:sz w:val="22"/>
                <w:szCs w:val="22"/>
              </w:rPr>
            </w:pPr>
          </w:p>
        </w:tc>
        <w:tc>
          <w:tcPr>
            <w:tcW w:w="750" w:type="dxa"/>
            <w:shd w:val="clear" w:color="auto" w:fill="auto"/>
            <w:noWrap/>
            <w:vAlign w:val="center"/>
          </w:tcPr>
          <w:p>
            <w:pPr>
              <w:rPr>
                <w:sz w:val="22"/>
                <w:szCs w:val="22"/>
              </w:rPr>
            </w:pPr>
          </w:p>
        </w:tc>
        <w:tc>
          <w:tcPr>
            <w:tcW w:w="992" w:type="dxa"/>
            <w:shd w:val="clear" w:color="auto" w:fill="auto"/>
            <w:noWrap/>
            <w:vAlign w:val="center"/>
          </w:tcPr>
          <w:p>
            <w:pPr>
              <w:rPr>
                <w:sz w:val="22"/>
                <w:szCs w:val="22"/>
              </w:rPr>
            </w:pPr>
          </w:p>
        </w:tc>
        <w:tc>
          <w:tcPr>
            <w:tcW w:w="633" w:type="dxa"/>
            <w:shd w:val="clear" w:color="auto" w:fill="auto"/>
            <w:noWrap/>
            <w:vAlign w:val="center"/>
          </w:tcPr>
          <w:p>
            <w:pPr>
              <w:rPr>
                <w:sz w:val="22"/>
                <w:szCs w:val="22"/>
              </w:rPr>
            </w:pPr>
          </w:p>
        </w:tc>
      </w:tr>
      <w:tr>
        <w:tblPrEx>
          <w:tblCellMar>
            <w:top w:w="15" w:type="dxa"/>
            <w:left w:w="15" w:type="dxa"/>
            <w:bottom w:w="0" w:type="dxa"/>
            <w:right w:w="15" w:type="dxa"/>
          </w:tblCellMar>
        </w:tblPrEx>
        <w:trPr>
          <w:jc w:val="center"/>
          <w:hidden/>
        </w:trPr>
        <w:tc>
          <w:tcPr>
            <w:tcW w:w="247" w:type="dxa"/>
            <w:shd w:val="clear" w:color="auto" w:fill="auto"/>
            <w:vAlign w:val="center"/>
          </w:tcPr>
          <w:p>
            <w:pPr>
              <w:rPr>
                <w:vanish/>
                <w:sz w:val="22"/>
                <w:szCs w:val="22"/>
              </w:rPr>
            </w:pPr>
          </w:p>
        </w:tc>
        <w:tc>
          <w:tcPr>
            <w:tcW w:w="746" w:type="dxa"/>
            <w:shd w:val="clear" w:color="auto" w:fill="auto"/>
            <w:vAlign w:val="center"/>
          </w:tcPr>
          <w:p>
            <w:pPr>
              <w:rPr>
                <w:vanish/>
                <w:sz w:val="22"/>
                <w:szCs w:val="22"/>
              </w:rPr>
            </w:pPr>
          </w:p>
        </w:tc>
        <w:tc>
          <w:tcPr>
            <w:tcW w:w="425" w:type="dxa"/>
            <w:shd w:val="clear" w:color="auto" w:fill="auto"/>
            <w:vAlign w:val="center"/>
          </w:tcPr>
          <w:p>
            <w:pPr>
              <w:rPr>
                <w:vanish/>
                <w:sz w:val="22"/>
                <w:szCs w:val="22"/>
              </w:rPr>
            </w:pPr>
          </w:p>
        </w:tc>
        <w:tc>
          <w:tcPr>
            <w:tcW w:w="1198" w:type="dxa"/>
            <w:shd w:val="clear" w:color="auto" w:fill="auto"/>
            <w:vAlign w:val="center"/>
          </w:tcPr>
          <w:p>
            <w:pPr>
              <w:rPr>
                <w:vanish/>
                <w:sz w:val="22"/>
                <w:szCs w:val="22"/>
              </w:rPr>
            </w:pPr>
          </w:p>
        </w:tc>
        <w:tc>
          <w:tcPr>
            <w:tcW w:w="503" w:type="dxa"/>
            <w:shd w:val="clear" w:color="auto" w:fill="auto"/>
            <w:vAlign w:val="center"/>
          </w:tcPr>
          <w:p>
            <w:pPr>
              <w:rPr>
                <w:vanish/>
                <w:sz w:val="22"/>
                <w:szCs w:val="22"/>
              </w:rPr>
            </w:pPr>
          </w:p>
        </w:tc>
        <w:tc>
          <w:tcPr>
            <w:tcW w:w="709" w:type="dxa"/>
            <w:shd w:val="clear" w:color="auto" w:fill="auto"/>
            <w:vAlign w:val="center"/>
          </w:tcPr>
          <w:p>
            <w:pPr>
              <w:rPr>
                <w:vanish/>
                <w:sz w:val="22"/>
                <w:szCs w:val="22"/>
              </w:rPr>
            </w:pPr>
          </w:p>
        </w:tc>
        <w:tc>
          <w:tcPr>
            <w:tcW w:w="1075" w:type="dxa"/>
            <w:shd w:val="clear" w:color="auto" w:fill="auto"/>
            <w:vAlign w:val="center"/>
          </w:tcPr>
          <w:p>
            <w:pPr>
              <w:rPr>
                <w:vanish/>
                <w:sz w:val="22"/>
                <w:szCs w:val="22"/>
              </w:rPr>
            </w:pPr>
          </w:p>
        </w:tc>
        <w:tc>
          <w:tcPr>
            <w:tcW w:w="304" w:type="dxa"/>
            <w:shd w:val="clear" w:color="auto" w:fill="auto"/>
            <w:vAlign w:val="center"/>
          </w:tcPr>
          <w:p>
            <w:pPr>
              <w:rPr>
                <w:vanish/>
                <w:sz w:val="22"/>
                <w:szCs w:val="22"/>
              </w:rPr>
            </w:pPr>
          </w:p>
        </w:tc>
        <w:tc>
          <w:tcPr>
            <w:tcW w:w="304" w:type="dxa"/>
            <w:shd w:val="clear" w:color="auto" w:fill="auto"/>
            <w:vAlign w:val="center"/>
          </w:tcPr>
          <w:p>
            <w:pPr>
              <w:rPr>
                <w:vanish/>
                <w:sz w:val="22"/>
                <w:szCs w:val="22"/>
              </w:rPr>
            </w:pPr>
          </w:p>
        </w:tc>
        <w:tc>
          <w:tcPr>
            <w:tcW w:w="816" w:type="dxa"/>
            <w:shd w:val="clear" w:color="auto" w:fill="auto"/>
            <w:vAlign w:val="center"/>
          </w:tcPr>
          <w:p>
            <w:pPr>
              <w:rPr>
                <w:vanish/>
                <w:sz w:val="22"/>
                <w:szCs w:val="22"/>
              </w:rPr>
            </w:pPr>
          </w:p>
        </w:tc>
        <w:tc>
          <w:tcPr>
            <w:tcW w:w="334" w:type="dxa"/>
            <w:shd w:val="clear" w:color="auto" w:fill="auto"/>
            <w:vAlign w:val="center"/>
          </w:tcPr>
          <w:p>
            <w:pPr>
              <w:rPr>
                <w:vanish/>
                <w:sz w:val="22"/>
                <w:szCs w:val="22"/>
              </w:rPr>
            </w:pPr>
          </w:p>
        </w:tc>
        <w:tc>
          <w:tcPr>
            <w:tcW w:w="497" w:type="dxa"/>
            <w:shd w:val="clear" w:color="auto" w:fill="auto"/>
            <w:vAlign w:val="center"/>
          </w:tcPr>
          <w:p>
            <w:pPr>
              <w:rPr>
                <w:vanish/>
                <w:sz w:val="22"/>
                <w:szCs w:val="22"/>
              </w:rPr>
            </w:pPr>
          </w:p>
        </w:tc>
        <w:tc>
          <w:tcPr>
            <w:tcW w:w="479" w:type="dxa"/>
            <w:shd w:val="clear" w:color="auto" w:fill="auto"/>
            <w:vAlign w:val="center"/>
          </w:tcPr>
          <w:p>
            <w:pPr>
              <w:rPr>
                <w:vanish/>
                <w:sz w:val="22"/>
                <w:szCs w:val="22"/>
              </w:rPr>
            </w:pPr>
          </w:p>
        </w:tc>
        <w:tc>
          <w:tcPr>
            <w:tcW w:w="317" w:type="dxa"/>
            <w:shd w:val="clear" w:color="auto" w:fill="auto"/>
            <w:vAlign w:val="center"/>
          </w:tcPr>
          <w:p>
            <w:pPr>
              <w:rPr>
                <w:vanish/>
                <w:sz w:val="22"/>
                <w:szCs w:val="22"/>
              </w:rPr>
            </w:pPr>
          </w:p>
        </w:tc>
        <w:tc>
          <w:tcPr>
            <w:tcW w:w="2394" w:type="dxa"/>
            <w:shd w:val="clear" w:color="auto" w:fill="auto"/>
            <w:vAlign w:val="center"/>
          </w:tcPr>
          <w:p>
            <w:pPr>
              <w:rPr>
                <w:vanish/>
                <w:sz w:val="22"/>
                <w:szCs w:val="22"/>
              </w:rPr>
            </w:pPr>
          </w:p>
        </w:tc>
        <w:tc>
          <w:tcPr>
            <w:tcW w:w="851" w:type="dxa"/>
            <w:shd w:val="clear" w:color="auto" w:fill="auto"/>
            <w:vAlign w:val="center"/>
          </w:tcPr>
          <w:p>
            <w:pPr>
              <w:rPr>
                <w:vanish/>
                <w:sz w:val="22"/>
                <w:szCs w:val="22"/>
              </w:rPr>
            </w:pPr>
          </w:p>
        </w:tc>
        <w:tc>
          <w:tcPr>
            <w:tcW w:w="708" w:type="dxa"/>
            <w:shd w:val="clear" w:color="auto" w:fill="auto"/>
            <w:vAlign w:val="center"/>
          </w:tcPr>
          <w:p>
            <w:pPr>
              <w:rPr>
                <w:vanish/>
                <w:sz w:val="22"/>
                <w:szCs w:val="22"/>
              </w:rPr>
            </w:pPr>
          </w:p>
        </w:tc>
        <w:tc>
          <w:tcPr>
            <w:tcW w:w="567" w:type="dxa"/>
            <w:shd w:val="clear" w:color="auto" w:fill="auto"/>
            <w:vAlign w:val="center"/>
          </w:tcPr>
          <w:p>
            <w:pPr>
              <w:rPr>
                <w:vanish/>
                <w:sz w:val="22"/>
                <w:szCs w:val="22"/>
              </w:rPr>
            </w:pPr>
          </w:p>
        </w:tc>
        <w:tc>
          <w:tcPr>
            <w:tcW w:w="1134" w:type="dxa"/>
            <w:shd w:val="clear" w:color="auto" w:fill="auto"/>
            <w:vAlign w:val="center"/>
          </w:tcPr>
          <w:p>
            <w:pPr>
              <w:rPr>
                <w:vanish/>
                <w:sz w:val="22"/>
                <w:szCs w:val="22"/>
              </w:rPr>
            </w:pPr>
          </w:p>
        </w:tc>
        <w:tc>
          <w:tcPr>
            <w:tcW w:w="1134" w:type="dxa"/>
            <w:shd w:val="clear" w:color="auto" w:fill="auto"/>
            <w:vAlign w:val="center"/>
          </w:tcPr>
          <w:p>
            <w:pPr>
              <w:rPr>
                <w:vanish/>
                <w:sz w:val="22"/>
                <w:szCs w:val="22"/>
              </w:rPr>
            </w:pPr>
          </w:p>
        </w:tc>
        <w:tc>
          <w:tcPr>
            <w:tcW w:w="1276" w:type="dxa"/>
            <w:shd w:val="clear" w:color="auto" w:fill="auto"/>
            <w:vAlign w:val="center"/>
          </w:tcPr>
          <w:p>
            <w:pPr>
              <w:rPr>
                <w:vanish/>
                <w:sz w:val="22"/>
                <w:szCs w:val="22"/>
              </w:rPr>
            </w:pPr>
          </w:p>
        </w:tc>
        <w:tc>
          <w:tcPr>
            <w:tcW w:w="709" w:type="dxa"/>
            <w:shd w:val="clear" w:color="auto" w:fill="auto"/>
            <w:vAlign w:val="center"/>
          </w:tcPr>
          <w:p>
            <w:pPr>
              <w:rPr>
                <w:vanish/>
                <w:sz w:val="22"/>
                <w:szCs w:val="22"/>
              </w:rPr>
            </w:pPr>
          </w:p>
        </w:tc>
        <w:tc>
          <w:tcPr>
            <w:tcW w:w="850" w:type="dxa"/>
            <w:shd w:val="clear" w:color="auto" w:fill="auto"/>
            <w:vAlign w:val="center"/>
          </w:tcPr>
          <w:p>
            <w:pPr>
              <w:rPr>
                <w:vanish/>
                <w:sz w:val="22"/>
                <w:szCs w:val="22"/>
              </w:rPr>
            </w:pPr>
          </w:p>
        </w:tc>
        <w:tc>
          <w:tcPr>
            <w:tcW w:w="1093" w:type="dxa"/>
            <w:shd w:val="clear" w:color="auto" w:fill="auto"/>
            <w:vAlign w:val="center"/>
          </w:tcPr>
          <w:p>
            <w:pPr>
              <w:rPr>
                <w:vanish/>
                <w:sz w:val="22"/>
                <w:szCs w:val="22"/>
              </w:rPr>
            </w:pPr>
          </w:p>
        </w:tc>
        <w:tc>
          <w:tcPr>
            <w:tcW w:w="750" w:type="dxa"/>
            <w:shd w:val="clear" w:color="auto" w:fill="auto"/>
            <w:vAlign w:val="center"/>
          </w:tcPr>
          <w:p>
            <w:pPr>
              <w:rPr>
                <w:vanish/>
                <w:sz w:val="22"/>
                <w:szCs w:val="22"/>
              </w:rPr>
            </w:pPr>
          </w:p>
        </w:tc>
        <w:tc>
          <w:tcPr>
            <w:tcW w:w="992" w:type="dxa"/>
            <w:shd w:val="clear" w:color="auto" w:fill="auto"/>
            <w:vAlign w:val="center"/>
          </w:tcPr>
          <w:p>
            <w:pPr>
              <w:rPr>
                <w:vanish/>
                <w:sz w:val="22"/>
                <w:szCs w:val="22"/>
              </w:rPr>
            </w:pPr>
          </w:p>
        </w:tc>
        <w:tc>
          <w:tcPr>
            <w:tcW w:w="633" w:type="dxa"/>
            <w:shd w:val="clear" w:color="auto" w:fill="auto"/>
            <w:vAlign w:val="center"/>
          </w:tcPr>
          <w:p>
            <w:pPr>
              <w:rPr>
                <w:vanish/>
                <w:sz w:val="22"/>
                <w:szCs w:val="22"/>
              </w:rPr>
            </w:pPr>
          </w:p>
        </w:tc>
      </w:tr>
    </w:tbl>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90"/>
  <w:documentProtection w:enforcement="0"/>
  <w:defaultTabStop w:val="4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B4F"/>
    <w:rsid w:val="0071627C"/>
    <w:rsid w:val="00DA3AA1"/>
    <w:rsid w:val="00E73B4F"/>
    <w:rsid w:val="5B5B1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2"/>
    <w:semiHidden/>
    <w:unhideWhenUsed/>
    <w:qFormat/>
    <w:uiPriority w:val="99"/>
    <w:pPr>
      <w:tabs>
        <w:tab w:val="center" w:pos="4153"/>
        <w:tab w:val="right" w:pos="8306"/>
      </w:tabs>
      <w:snapToGrid w:val="0"/>
    </w:pPr>
    <w:rPr>
      <w:sz w:val="18"/>
      <w:szCs w:val="18"/>
    </w:rPr>
  </w:style>
  <w:style w:type="paragraph" w:styleId="3">
    <w:name w:val="header"/>
    <w:basedOn w:val="1"/>
    <w:link w:val="31"/>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xl1521228"/>
    <w:basedOn w:val="1"/>
    <w:uiPriority w:val="0"/>
    <w:pPr>
      <w:spacing w:before="100" w:beforeAutospacing="1" w:after="100" w:afterAutospacing="1"/>
      <w:textAlignment w:val="center"/>
    </w:pPr>
    <w:rPr>
      <w:color w:val="000000"/>
      <w:sz w:val="22"/>
      <w:szCs w:val="22"/>
    </w:rPr>
  </w:style>
  <w:style w:type="paragraph" w:customStyle="1" w:styleId="7">
    <w:name w:val="xl15521228"/>
    <w:basedOn w:val="1"/>
    <w:uiPriority w:val="0"/>
    <w:pPr>
      <w:spacing w:before="100" w:beforeAutospacing="1" w:after="100" w:afterAutospacing="1"/>
      <w:textAlignment w:val="bottom"/>
    </w:pPr>
    <w:rPr>
      <w:sz w:val="22"/>
      <w:szCs w:val="22"/>
    </w:rPr>
  </w:style>
  <w:style w:type="paragraph" w:customStyle="1" w:styleId="8">
    <w:name w:val="xl15621228"/>
    <w:basedOn w:val="1"/>
    <w:uiPriority w:val="0"/>
    <w:pPr>
      <w:spacing w:before="100" w:beforeAutospacing="1" w:after="100" w:afterAutospacing="1"/>
      <w:jc w:val="center"/>
      <w:textAlignment w:val="center"/>
    </w:pPr>
    <w:rPr>
      <w:b/>
      <w:bCs/>
      <w:sz w:val="20"/>
      <w:szCs w:val="20"/>
    </w:rPr>
  </w:style>
  <w:style w:type="paragraph" w:customStyle="1" w:styleId="9">
    <w:name w:val="xl15721228"/>
    <w:basedOn w:val="1"/>
    <w:uiPriority w:val="0"/>
    <w:pPr>
      <w:spacing w:before="100" w:beforeAutospacing="1" w:after="100" w:afterAutospacing="1"/>
      <w:textAlignment w:val="bottom"/>
    </w:pPr>
    <w:rPr>
      <w:color w:val="000000"/>
      <w:sz w:val="32"/>
      <w:szCs w:val="32"/>
    </w:rPr>
  </w:style>
  <w:style w:type="paragraph" w:customStyle="1" w:styleId="10">
    <w:name w:val="xl15821228"/>
    <w:basedOn w:val="1"/>
    <w:qFormat/>
    <w:uiPriority w:val="0"/>
    <w:pPr>
      <w:spacing w:before="100" w:beforeAutospacing="1" w:after="100" w:afterAutospacing="1"/>
      <w:textAlignment w:val="center"/>
    </w:pPr>
    <w:rPr>
      <w:sz w:val="22"/>
      <w:szCs w:val="22"/>
    </w:rPr>
  </w:style>
  <w:style w:type="paragraph" w:customStyle="1" w:styleId="11">
    <w:name w:val="xl15921228"/>
    <w:basedOn w:val="1"/>
    <w:uiPriority w:val="0"/>
    <w:pPr>
      <w:spacing w:before="100" w:beforeAutospacing="1" w:after="100" w:afterAutospacing="1"/>
      <w:textAlignment w:val="center"/>
    </w:pPr>
  </w:style>
  <w:style w:type="paragraph" w:customStyle="1" w:styleId="12">
    <w:name w:val="xl1602122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微软雅黑" w:hAnsi="微软雅黑" w:eastAsia="微软雅黑"/>
      <w:b/>
      <w:bCs/>
      <w:sz w:val="18"/>
      <w:szCs w:val="18"/>
    </w:rPr>
  </w:style>
  <w:style w:type="paragraph" w:customStyle="1" w:styleId="13">
    <w:name w:val="xl1612122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微软雅黑" w:hAnsi="微软雅黑" w:eastAsia="微软雅黑"/>
      <w:b/>
      <w:bCs/>
      <w:sz w:val="18"/>
      <w:szCs w:val="18"/>
    </w:rPr>
  </w:style>
  <w:style w:type="paragraph" w:customStyle="1" w:styleId="14">
    <w:name w:val="xl1622122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微软雅黑" w:hAnsi="微软雅黑" w:eastAsia="微软雅黑"/>
      <w:b/>
      <w:bCs/>
      <w:sz w:val="18"/>
      <w:szCs w:val="18"/>
    </w:rPr>
  </w:style>
  <w:style w:type="paragraph" w:customStyle="1" w:styleId="15">
    <w:name w:val="xl16321228"/>
    <w:basedOn w:val="1"/>
    <w:uiPriority w:val="0"/>
    <w:pPr>
      <w:shd w:val="clear" w:color="000000" w:fill="FFFFFF"/>
      <w:spacing w:before="100" w:beforeAutospacing="1" w:after="100" w:afterAutospacing="1"/>
      <w:jc w:val="center"/>
      <w:textAlignment w:val="center"/>
    </w:pPr>
    <w:rPr>
      <w:rFonts w:ascii="微软雅黑" w:hAnsi="微软雅黑" w:eastAsia="微软雅黑"/>
      <w:b/>
      <w:bCs/>
      <w:sz w:val="18"/>
      <w:szCs w:val="18"/>
    </w:rPr>
  </w:style>
  <w:style w:type="paragraph" w:customStyle="1" w:styleId="16">
    <w:name w:val="xl16421228"/>
    <w:basedOn w:val="1"/>
    <w:uiPriority w:val="0"/>
    <w:pPr>
      <w:shd w:val="clear" w:color="000000" w:fill="FFFFFF"/>
      <w:spacing w:before="100" w:beforeAutospacing="1" w:after="100" w:afterAutospacing="1"/>
      <w:textAlignment w:val="center"/>
    </w:pPr>
  </w:style>
  <w:style w:type="paragraph" w:customStyle="1" w:styleId="17">
    <w:name w:val="xl16521228"/>
    <w:basedOn w:val="1"/>
    <w:qFormat/>
    <w:uiPriority w:val="0"/>
    <w:pPr>
      <w:spacing w:before="100" w:beforeAutospacing="1" w:after="100" w:afterAutospacing="1"/>
      <w:jc w:val="center"/>
      <w:textAlignment w:val="center"/>
    </w:pPr>
    <w:rPr>
      <w:rFonts w:ascii="华文仿宋" w:hAnsi="华文仿宋" w:eastAsia="华文仿宋"/>
      <w:b/>
      <w:bCs/>
      <w:sz w:val="20"/>
      <w:szCs w:val="20"/>
    </w:rPr>
  </w:style>
  <w:style w:type="paragraph" w:customStyle="1" w:styleId="18">
    <w:name w:val="xl16621228"/>
    <w:basedOn w:val="1"/>
    <w:qFormat/>
    <w:uiPriority w:val="0"/>
    <w:pPr>
      <w:spacing w:before="100" w:beforeAutospacing="1" w:after="100" w:afterAutospacing="1"/>
      <w:textAlignment w:val="center"/>
    </w:pPr>
    <w:rPr>
      <w:sz w:val="28"/>
      <w:szCs w:val="28"/>
    </w:rPr>
  </w:style>
  <w:style w:type="paragraph" w:customStyle="1" w:styleId="19">
    <w:name w:val="xl16721228"/>
    <w:basedOn w:val="1"/>
    <w:uiPriority w:val="0"/>
    <w:pPr>
      <w:spacing w:before="100" w:beforeAutospacing="1" w:after="100" w:afterAutospacing="1"/>
      <w:textAlignment w:val="center"/>
    </w:pPr>
  </w:style>
  <w:style w:type="paragraph" w:customStyle="1" w:styleId="20">
    <w:name w:val="xl16821228"/>
    <w:basedOn w:val="1"/>
    <w:qFormat/>
    <w:uiPriority w:val="0"/>
    <w:pPr>
      <w:spacing w:before="100" w:beforeAutospacing="1" w:after="100" w:afterAutospacing="1"/>
      <w:textAlignment w:val="center"/>
    </w:pPr>
    <w:rPr>
      <w:sz w:val="28"/>
      <w:szCs w:val="28"/>
    </w:rPr>
  </w:style>
  <w:style w:type="paragraph" w:customStyle="1" w:styleId="21">
    <w:name w:val="xl1692122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微软雅黑" w:hAnsi="微软雅黑" w:eastAsia="微软雅黑"/>
      <w:b/>
      <w:bCs/>
      <w:sz w:val="18"/>
      <w:szCs w:val="18"/>
    </w:rPr>
  </w:style>
  <w:style w:type="paragraph" w:customStyle="1" w:styleId="22">
    <w:name w:val="xl1702122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微软雅黑" w:hAnsi="微软雅黑" w:eastAsia="微软雅黑"/>
      <w:b/>
      <w:bCs/>
      <w:sz w:val="18"/>
      <w:szCs w:val="18"/>
    </w:rPr>
  </w:style>
  <w:style w:type="paragraph" w:customStyle="1" w:styleId="23">
    <w:name w:val="xl1712122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sz w:val="18"/>
      <w:szCs w:val="18"/>
    </w:rPr>
  </w:style>
  <w:style w:type="paragraph" w:customStyle="1" w:styleId="24">
    <w:name w:val="xl17221228"/>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25">
    <w:name w:val="xl17321228"/>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sz w:val="18"/>
      <w:szCs w:val="18"/>
    </w:rPr>
  </w:style>
  <w:style w:type="paragraph" w:customStyle="1" w:styleId="26">
    <w:name w:val="xl1742122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color w:val="000000"/>
      <w:sz w:val="18"/>
      <w:szCs w:val="18"/>
    </w:rPr>
  </w:style>
  <w:style w:type="paragraph" w:customStyle="1" w:styleId="27">
    <w:name w:val="xl1752122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sz w:val="18"/>
      <w:szCs w:val="18"/>
    </w:rPr>
  </w:style>
  <w:style w:type="paragraph" w:customStyle="1" w:styleId="28">
    <w:name w:val="xl17621228"/>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color w:val="000000"/>
      <w:sz w:val="18"/>
      <w:szCs w:val="18"/>
    </w:rPr>
  </w:style>
  <w:style w:type="paragraph" w:customStyle="1" w:styleId="29">
    <w:name w:val="xl17721228"/>
    <w:basedOn w:val="1"/>
    <w:qFormat/>
    <w:uiPriority w:val="0"/>
    <w:pPr>
      <w:spacing w:before="100" w:beforeAutospacing="1" w:after="100" w:afterAutospacing="1"/>
      <w:jc w:val="center"/>
      <w:textAlignment w:val="center"/>
    </w:pPr>
    <w:rPr>
      <w:sz w:val="18"/>
      <w:szCs w:val="18"/>
    </w:rPr>
  </w:style>
  <w:style w:type="paragraph" w:customStyle="1" w:styleId="30">
    <w:name w:val="xl17821228"/>
    <w:basedOn w:val="1"/>
    <w:uiPriority w:val="0"/>
    <w:pPr>
      <w:spacing w:before="100" w:beforeAutospacing="1" w:after="100" w:afterAutospacing="1"/>
      <w:jc w:val="center"/>
      <w:textAlignment w:val="center"/>
    </w:pPr>
    <w:rPr>
      <w:rFonts w:ascii="方正小标宋简体" w:eastAsia="方正小标宋简体"/>
      <w:sz w:val="44"/>
      <w:szCs w:val="44"/>
    </w:rPr>
  </w:style>
  <w:style w:type="character" w:customStyle="1" w:styleId="31">
    <w:name w:val="页眉 Char"/>
    <w:basedOn w:val="5"/>
    <w:link w:val="3"/>
    <w:semiHidden/>
    <w:uiPriority w:val="99"/>
    <w:rPr>
      <w:rFonts w:ascii="宋体" w:hAnsi="宋体" w:eastAsia="宋体" w:cs="宋体"/>
      <w:sz w:val="18"/>
      <w:szCs w:val="18"/>
    </w:rPr>
  </w:style>
  <w:style w:type="character" w:customStyle="1" w:styleId="32">
    <w:name w:val="页脚 Char"/>
    <w:basedOn w:val="5"/>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232</Words>
  <Characters>1324</Characters>
  <Lines>11</Lines>
  <Paragraphs>3</Paragraphs>
  <TotalTime>10</TotalTime>
  <ScaleCrop>false</ScaleCrop>
  <LinksUpToDate>false</LinksUpToDate>
  <CharactersWithSpaces>1553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2021-11-26T03:18:00Z</dcterms:created>
  <dc:creator>桑三博客</dc:creator>
  <cp:lastModifiedBy>1</cp:lastModifiedBy>
  <dcterms:modified xsi:type="dcterms:W3CDTF">2021-11-26T08:26:00Z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34AD5B7E299E407782324F7358CA8AE6</vt:lpwstr>
  </property>
</Properties>
</file>