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1" w:lineRule="atLeast"/>
        <w:ind w:left="0" w:right="0" w:firstLine="0"/>
        <w:jc w:val="center"/>
        <w:rPr>
          <w:rFonts w:hint="eastAsia" w:ascii="微软雅黑" w:hAnsi="微软雅黑" w:eastAsia="微软雅黑" w:cs="微软雅黑"/>
          <w:b/>
          <w:i w:val="0"/>
          <w:caps w:val="0"/>
          <w:color w:val="134EBA"/>
          <w:spacing w:val="0"/>
          <w:kern w:val="0"/>
          <w:sz w:val="42"/>
          <w:szCs w:val="42"/>
          <w:shd w:val="clear" w:color="auto" w:fill="FFFFFF"/>
          <w:lang w:val="en-US" w:eastAsia="zh-CN" w:bidi="ar"/>
        </w:rPr>
      </w:pPr>
      <w:bookmarkStart w:id="0" w:name="_GoBack"/>
      <w:bookmarkEnd w:id="0"/>
      <w:r>
        <w:rPr>
          <w:rFonts w:hint="eastAsia" w:ascii="微软雅黑" w:hAnsi="微软雅黑" w:eastAsia="微软雅黑" w:cs="微软雅黑"/>
          <w:b/>
          <w:i w:val="0"/>
          <w:caps w:val="0"/>
          <w:color w:val="134EBA"/>
          <w:spacing w:val="0"/>
          <w:kern w:val="0"/>
          <w:sz w:val="42"/>
          <w:szCs w:val="42"/>
          <w:shd w:val="clear" w:color="auto" w:fill="FFFFFF"/>
          <w:lang w:val="en-US" w:eastAsia="zh-CN" w:bidi="ar"/>
        </w:rPr>
        <w:t>城市市容和环境卫生管理条例</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1" w:lineRule="atLeast"/>
        <w:ind w:left="0" w:right="0" w:firstLine="0"/>
        <w:jc w:val="center"/>
        <w:rPr>
          <w:rFonts w:ascii="微软雅黑" w:hAnsi="微软雅黑" w:eastAsia="微软雅黑" w:cs="微软雅黑"/>
          <w:b/>
          <w:i w:val="0"/>
          <w:caps w:val="0"/>
          <w:color w:val="134EBA"/>
          <w:spacing w:val="0"/>
          <w:sz w:val="42"/>
          <w:szCs w:val="42"/>
        </w:rPr>
      </w:pPr>
      <w:r>
        <w:rPr>
          <w:rFonts w:hint="eastAsia" w:ascii="微软雅黑" w:hAnsi="微软雅黑" w:eastAsia="微软雅黑" w:cs="微软雅黑"/>
          <w:b/>
          <w:i w:val="0"/>
          <w:caps w:val="0"/>
          <w:color w:val="134EBA"/>
          <w:spacing w:val="0"/>
          <w:kern w:val="0"/>
          <w:sz w:val="42"/>
          <w:szCs w:val="42"/>
          <w:shd w:val="clear" w:color="auto" w:fill="FFFFFF"/>
          <w:lang w:val="en-US" w:eastAsia="zh-CN" w:bidi="ar"/>
        </w:rPr>
        <w:t>(2017年3月1日修正版)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b/>
          <w:i w:val="0"/>
          <w:sz w:val="24"/>
          <w:szCs w:val="24"/>
        </w:rPr>
      </w:pPr>
      <w:r>
        <w:rPr>
          <w:rFonts w:hint="eastAsia" w:ascii="微软雅黑" w:hAnsi="微软雅黑" w:eastAsia="微软雅黑" w:cs="微软雅黑"/>
          <w:b/>
          <w:i w:val="0"/>
          <w:caps w:val="0"/>
          <w:color w:val="333333"/>
          <w:spacing w:val="0"/>
          <w:sz w:val="24"/>
          <w:szCs w:val="24"/>
          <w:shd w:val="clear" w:color="auto" w:fill="FFFFFF"/>
        </w:rPr>
        <w:t>　　（1992年6月28日国务院令第101号发布　根据2011年1月8日《国务院关于废止和修改部分行政法规的决定》第一次修订 根据2017年3月1日《国务院关于修改和废止部分行政法规的决定》第二次修订）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b/>
          <w:i w:val="0"/>
          <w:sz w:val="24"/>
          <w:szCs w:val="24"/>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center"/>
        <w:rPr>
          <w:rFonts w:hint="eastAsia" w:ascii="微软雅黑" w:hAnsi="微软雅黑" w:eastAsia="微软雅黑" w:cs="微软雅黑"/>
          <w:b/>
          <w:i w:val="0"/>
          <w:caps w:val="0"/>
          <w:color w:val="333333"/>
          <w:spacing w:val="0"/>
          <w:sz w:val="24"/>
          <w:szCs w:val="24"/>
        </w:rPr>
      </w:pPr>
      <w:r>
        <w:rPr>
          <w:rFonts w:hint="eastAsia" w:ascii="微软雅黑" w:hAnsi="微软雅黑" w:eastAsia="微软雅黑" w:cs="微软雅黑"/>
          <w:b/>
          <w:i w:val="0"/>
          <w:caps w:val="0"/>
          <w:color w:val="333333"/>
          <w:spacing w:val="0"/>
          <w:kern w:val="0"/>
          <w:sz w:val="24"/>
          <w:szCs w:val="24"/>
          <w:shd w:val="clear" w:color="auto" w:fill="FFFFFF"/>
          <w:lang w:val="en-US" w:eastAsia="zh-CN" w:bidi="ar"/>
        </w:rPr>
        <w:t>第一章总则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第一条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为了加强城市市容和环境卫生管理，创造清洁、优美的城市工作、生活环境，促进城市社会主义物质文明和精神文明建设，制定本条例。</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在中华人民共和国城市内，一切单位和个人都必须遵守本条例。</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城市市容和环境卫生工作，实行统一领导、分区负责、专业人员管理与群众管理相结合的原则。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国务院城市建设行政主管部门主管全国城市市容和环境卫生工作。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省、自治区人民政府城市建设行政主管部门负责本行政区域的城市市容和环境卫生管理工作。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城市人民政府市容环境卫生行政主管部门负责本行政区域的城市市容和环境卫生管理工作。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第五条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城市人民政府应当把城市市容和环境卫生事业纳入国民经济和社会发展计划，并组织实施。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城市人民政府应当结合本地的实际情况，积极推行环境卫生用工制度的改革，并采取措施，逐步提高环境卫生工作人员的工资福利待遇。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第六条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城市人民政府应当加强城市市容和环境卫生科学知识的宣传，提高公民的环境卫生意识，养成良好的卫生习惯。</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一切单位和个人，都应当尊重市容和环境卫生工作人员的劳动，不得妨碍、阻挠市容和环境卫生工作人员履行职务。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第七条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国家鼓励城市市容和环境卫生的科学技术研究，推广先进技术，提高城市市容和环境卫生水平。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第八条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对在城市市容和环境卫生工作中成绩显著的单位和个人，由人民政府给予奖励。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sz w:val="24"/>
          <w:szCs w:val="24"/>
        </w:rPr>
      </w:pPr>
      <w:r>
        <w:rPr>
          <w:rFonts w:hint="eastAsia" w:ascii="微软雅黑" w:hAnsi="微软雅黑" w:eastAsia="微软雅黑" w:cs="微软雅黑"/>
          <w:b/>
          <w:i w:val="0"/>
          <w:caps w:val="0"/>
          <w:color w:val="333333"/>
          <w:spacing w:val="0"/>
          <w:sz w:val="24"/>
          <w:szCs w:val="24"/>
          <w:shd w:val="clear" w:color="auto" w:fill="FFFFFF"/>
        </w:rPr>
        <w:t>第二章城市市容管理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第九条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中的建筑物和设施，应当符合国家规定的城市容貌标准。对外开放城市、风景旅游城市和有条件的其他城市，可以结合本地具体情况，制定严于国家规定的城市容貌标准；建制镇可以参照国家规定的城市容貌标准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切单位和个人都应当保持建筑物的整洁、美观。在城市人民政府规定的街道的临街建筑物的阳台和窗外，不得堆放、吊挂有碍市容的物品。搭建或者封闭阳台必须符合城市人民政府市容环境卫生行政主管部门的有关规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第十一条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在城市中设置户外广告、标语牌、画廊、橱窗等，应当内容健康、外形美观，并定期维修、油饰或者拆除。</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大型户外广告的设置必须征得城市人民政府市容环境卫生行政主管部门同意后，按照有关规定办理审批手续。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第十二条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城市中的市政公用设施，应当与周围环境相协调，并维护和保持设施完好、整洁。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第十三条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主要街道两侧的建筑物前，应当根据需要与可能，选用透景、半透景的围墙、栅栏或者绿篱、花坛（池）、草坪等作为分界。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临街树木、绿篱、花坛（池）、草坪等，应当保持整洁、美观。栽培、整修或者其他作业留下的渣土、枝叶等，管理单位、个人或者作业者应当及时清除。</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第十四条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第十五条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在市区运行的交通运输工具，应当保持外形完好、整洁，货运车辆运输的液体、散装货物，应当密封、包扎、覆盖，避免泄漏、遗撒。</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第十六条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城市的工程施工现场的材料、机具应当堆放整齐，渣土应当及时清运；临街工地应当设置护栏或者围布遮挡；停工场地应当及时整理并作必要的覆盖；竣工后，应当及时清理和平整场地。</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第十七条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一切单位和个人，都不得在城市建筑物、设施以及树木上涂写、刻画。</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单位和个人在城市建筑物、设施上张挂、张贴宣传品等，须经城市人民政府市容环境卫生行政主管部门或者其他有关部门批准。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i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sz w:val="24"/>
          <w:szCs w:val="24"/>
        </w:rPr>
      </w:pPr>
      <w:r>
        <w:rPr>
          <w:rFonts w:hint="eastAsia" w:ascii="微软雅黑" w:hAnsi="微软雅黑" w:eastAsia="微软雅黑" w:cs="微软雅黑"/>
          <w:b/>
          <w:i w:val="0"/>
          <w:caps w:val="0"/>
          <w:color w:val="333333"/>
          <w:spacing w:val="0"/>
          <w:sz w:val="24"/>
          <w:szCs w:val="24"/>
          <w:shd w:val="clear" w:color="auto" w:fill="FFFFFF"/>
        </w:rPr>
        <w:t>第三章城市环境卫生管理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第十八条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城市中的环境卫生设施，应当符合国家规定的城市环境卫生标准。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第十九条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城市人民政府在进行城市新区开发或者旧区改造时，应当依照国家有关规定，建设生活废弃物的清扫、收集、运输和处理等环境卫生设施，所需经费应当纳入建设工程概算。</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市容环境卫生行政主管部门，应当根据城市居住人口密度和流动人口数量以及公共场所等特定地区的需要，制定公共厕所建设规划，并按照规定的标准，建设、改造或者支持有关单位建设、改造公共厕所。</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市容环境卫生行政主管部门，应当配备专业人员或者委托有关单位和个人负责公共厕所的保洁和管理；有关单位和个人也可以承包公共厕所的保洁和管理。公共厕所的管理者可以适当收费，具体办法由省、自治区、直辖市人民政府制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对不符合规定标准的公共厕所，城市人民政府应当责令有关单位限期改造。</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公共厕所的粪便应当排入贮（化）粪池或者城市污水系统。</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第二十一条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多层和高层建筑应当设置封闭式垃圾通道或者垃圾贮存设施，并修建清运车辆通道。</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城市街道两侧、居住区或者人流密集地区，应当设置封闭式垃圾容器、果皮箱等设施。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第二十二条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一切单位和个人都不得擅自拆除环境卫生设施；因建设需要必须拆除的，建设单位必须事先提出拆迁方案，报城市人民政府市容环境卫生行政主管部门批准。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第二十三条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按国家行政建制设立的市的主要街道、广场和公共水域的环境卫生，由环境卫生专业单位负责。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居住区、街巷等地方，由街道办事处负责组织专人清扫保洁。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第二十四条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飞机场、火车站、公共汽车始末站、港口、影剧院、博物馆、展览馆、纪念馆、体育馆（场）和公园等公共场所，由本单位负责清扫保洁。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第二十五条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机关、团体、部队、企事业单位，应当按照城市人民政府市容环境卫生行政主管部门划分的卫生责任区负责清扫保洁。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第二十六条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城市集贸市场，由主管部门负责组织专人清扫保洁。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各种摊点，由从业者负责清扫保洁。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第二十七条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城市港口客货码头作业范围内的水面，由港口客货码头经营单位责成作业者清理保洁。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在市区水域行驶或者停泊的各类船舶上的垃圾、粪便，由船上负责人依照规定处理。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第二十八条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城市人民政府市容环境卫生行政主管部门对城市生活废弃物的收集、运输和处理实施监督管理。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一切单位和个人，都应当依照城市人民政府市容环境卫生行政主管部门规定的时间、地点、方式，倾倒垃圾、粪便。</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对垃圾、粪便应当及时清运，并逐步做到垃圾、粪便的无害化处理和综合利用。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对城市生活废弃物应当逐步做到分类收集、运输和处理。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第二十九条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环境卫生管理应当逐步实行社会化服务。有条件的城市，可以成立环境卫生服务公司。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凡委托环境卫生专业单位清扫、收集、运输和处理废弃物的，应当交纳服务费。具体办法由省、自治区、直辖市人民政府制定。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城市人民政府应当有计划地发展城市煤气、天然气、液化气，改变燃料结构；鼓励和支持有关部门组织净菜进城和回收利用废旧物资，减少城市垃圾。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第三十一条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医院、疗养院、屠宰场、生物制品厂产生的废弃物，必须依照有关规定处理。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第三十二条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公民应当爱护公共卫生环境，不随地吐痰、便溺，不乱扔果皮、纸屑和烟头等废弃物。</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第三十三条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按国家行政建制设立的市的市区内，禁止饲养鸡、鸭、鹅、兔、羊、猪等家畜家禽；因教学、科研以及其他特殊需要饲养的除外。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i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sz w:val="24"/>
          <w:szCs w:val="24"/>
        </w:rPr>
      </w:pPr>
      <w:r>
        <w:rPr>
          <w:rFonts w:hint="eastAsia" w:ascii="微软雅黑" w:hAnsi="微软雅黑" w:eastAsia="微软雅黑" w:cs="微软雅黑"/>
          <w:b/>
          <w:i w:val="0"/>
          <w:caps w:val="0"/>
          <w:color w:val="333333"/>
          <w:spacing w:val="0"/>
          <w:sz w:val="24"/>
          <w:szCs w:val="24"/>
          <w:shd w:val="clear" w:color="auto" w:fill="FFFFFF"/>
        </w:rPr>
        <w:t>第四章罚则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第三十四条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有下列行为之一者，城市人民政府市容环境卫生行政主管部门或者其委托的单位除责令其纠正违法行为、采取补救措施外，可以并处警告、罚款：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（一）随地吐痰、便溺，乱扔果皮、纸屑和烟头等废弃物的；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（二）在城市建筑物、设施以及树木上涂写、刻画或者未经批准张挂、张贴宣传品等的；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（三）在城市人民政府规定的街道的临街建筑物的阳台和窗外，堆放、吊挂有碍市容的物品的；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（四）不按规定的时间、地点、方式，倾倒垃圾、粪便的；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（五）不履行卫生责任区清扫保洁义务或者不按规定清运、处理垃圾和粪便的；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（六）运输液体、散装货物不作密封、包扎、覆盖，造成泄漏、遗撒的；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（七）临街工地不设置护栏或者不作遮挡、停工场地不及时整理并作必要覆盖或者竣工后不及时清理和平整场地，影响市容和环境卫生的。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第三十五条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饲养家畜家禽影响市容和环境卫生的，由城市人民政府市容环境卫生行政主管部门或者其委托的单位，责令其限期处理或者予以没收，并可处以罚款。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第三十六条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有下列行为之一者，由城市人民政府市容环境卫生行政主管部门或者其委托的单位责令其停止违法行为，限期清理、拆除或者采取其他补救措施，并可处以罚款：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（一）未经城市人民政府市容环境卫生行政主管部门同意，擅自设置大型户外广告，影响市容的；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（二）未经城市人民政府市容环境卫生行政主管部门批准，擅自在街道两侧和公共场地堆放物料，搭建建筑物、构筑物或者其他设施，影响市容的；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（三）未经批准擅自拆除环境卫生设施或者未按批准的拆迁方案进行拆迁的。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第三十七条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凡不符合城市容貌标准、环境卫生标准的建筑物或者设施，由城市人民政府市容环境卫生行政主管部门会同城市规划行政主管部门，责令有关单位和个人限期改造或者拆除；逾期未改造或者未拆除的，经县级以上人民政府批准，由城市人民政府市容环境卫生行政主管部门或者城市规划行政主管部门组织强制拆除，并可处以罚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第三十八条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损坏各类环境卫生设施及其附属设施的，城市人民政府市容环境卫生行政主管部门或者其委托的单位除责令其恢复原状外，可以并处罚款；盗窃、损坏各类环境卫生设施及其附属设施，应当给予治安管理处罚的，依照《中华人民共和国治安管理处罚法》的规定处罚；构成犯罪的，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第三十九条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侮辱、殴打市容和环境卫生工作人员或者阻挠其执行公务的，依照《中华人民共和国治安管理处罚法》的规定处罚；构成犯罪的，依法追究刑事责任。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第四十条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当事人对行政处罚决定不服的，可以自接到处罚通知之日起15日内，向作出处罚决定机关的上一级机关申请复议；对复议决定不服的，可以自接到复议决定书之日起15日内向人民法院起诉。当事人也可以自接到处罚通知之日起15日内直接向人民法院起诉。期满不申请复议、也不向人民法院起诉、又不履行处罚决定的，由作出处罚决定的机关申请人民法院强制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对治安管理处罚不服的，依照《中华人民共和国治安管理处罚法》的规定办理。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第四十一条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城市人民政府市容环境卫生行政主管部门工作人员玩忽职守、滥用职权、徇私舞弊的，由其所在单位或者上级主管机关给予行政处分；构成犯罪的，依法追究刑事责任。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both"/>
        <w:rPr>
          <w:i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jc w:val="center"/>
        <w:rPr>
          <w:i w:val="0"/>
          <w:sz w:val="24"/>
          <w:szCs w:val="24"/>
        </w:rPr>
      </w:pPr>
      <w:r>
        <w:rPr>
          <w:rFonts w:hint="eastAsia" w:ascii="微软雅黑" w:hAnsi="微软雅黑" w:eastAsia="微软雅黑" w:cs="微软雅黑"/>
          <w:b/>
          <w:i w:val="0"/>
          <w:caps w:val="0"/>
          <w:color w:val="333333"/>
          <w:spacing w:val="0"/>
          <w:sz w:val="24"/>
          <w:szCs w:val="24"/>
          <w:shd w:val="clear" w:color="auto" w:fill="FFFFFF"/>
        </w:rPr>
        <w:t>第五章附则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第四十二条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未设镇建制的城市型居民区可以参照本条例执行。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第四十三条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省、自治区、直辖市人民政府可以根据本条例制定实施办法。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第四十四条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本条例由国务院城市建设行政主管部门负责解释。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第四十五条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4" w:lineRule="atLeast"/>
        <w:ind w:left="0" w:right="0" w:firstLine="0"/>
        <w:jc w:val="both"/>
        <w:rPr>
          <w:rFonts w:hint="eastAsia" w:ascii="微软雅黑" w:hAnsi="微软雅黑" w:eastAsia="微软雅黑" w:cs="微软雅黑"/>
          <w:i w:val="0"/>
          <w:caps w:val="0"/>
          <w:color w:val="333333"/>
          <w:spacing w:val="0"/>
          <w:sz w:val="24"/>
          <w:szCs w:val="24"/>
        </w:rPr>
      </w:pPr>
      <w:r>
        <w:rPr>
          <w:rFonts w:hint="eastAsia" w:ascii="微软雅黑" w:hAnsi="微软雅黑" w:eastAsia="微软雅黑" w:cs="微软雅黑"/>
          <w:i w:val="0"/>
          <w:caps w:val="0"/>
          <w:color w:val="333333"/>
          <w:spacing w:val="0"/>
          <w:kern w:val="0"/>
          <w:sz w:val="24"/>
          <w:szCs w:val="24"/>
          <w:shd w:val="clear" w:color="auto" w:fill="FFFFFF"/>
          <w:lang w:val="en-US" w:eastAsia="zh-CN" w:bidi="ar"/>
        </w:rPr>
        <w:t>本条例自1992年8月1日起施行。</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A6042"/>
    <w:rsid w:val="7FDA6042"/>
    <w:rsid w:val="FEAD12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2021-07-15T23:45:00Z</dcterms:created>
  <dc:creator>user</dc:creator>
  <cp:lastModifiedBy>user</cp:lastModifiedBy>
  <dcterms:modified xsi:type="dcterms:W3CDTF">2021-07-15T15:47:23Z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