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附件2</w:t>
      </w:r>
    </w:p>
    <w:p>
      <w:pPr>
        <w:jc w:val="center"/>
        <w:rPr>
          <w:rFonts w:hint="eastAsia" w:ascii="黑体" w:hAnsi="仿宋" w:eastAsia="黑体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6"/>
          <w:szCs w:val="36"/>
        </w:rPr>
        <w:t>2016年第一季度门户网站文稿报送情况表</w:t>
      </w:r>
    </w:p>
    <w:tbl>
      <w:tblPr>
        <w:tblStyle w:val="3"/>
        <w:tblpPr w:leftFromText="180" w:rightFromText="180" w:vertAnchor="text" w:horzAnchor="margin" w:tblpXSpec="center" w:tblpY="20"/>
        <w:tblOverlap w:val="never"/>
        <w:tblW w:w="74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2321"/>
        <w:gridCol w:w="2070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单位、科室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报送数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采用数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办公室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综合科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政策法规科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执法监督科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行政审批科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财务装备科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7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政工人事科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8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城管办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监察室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10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指挥中心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11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机关党委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12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工会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13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环卫处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14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14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市政处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15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园林局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16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照明处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7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17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公园管理处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18</w:t>
            </w:r>
          </w:p>
        </w:tc>
        <w:tc>
          <w:tcPr>
            <w:tcW w:w="2321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执法支队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15</w:t>
            </w:r>
          </w:p>
        </w:tc>
        <w:tc>
          <w:tcPr>
            <w:tcW w:w="2070" w:type="dxa"/>
            <w:vAlign w:val="top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15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D199C"/>
    <w:rsid w:val="52ED199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2016-04-11T03:16:00Z</dcterms:created>
  <dc:creator>四川大宇</dc:creator>
  <cp:lastModifiedBy>四川大宇</cp:lastModifiedBy>
  <dcterms:modified xsi:type="dcterms:W3CDTF">2016-04-11T03:16:29Z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